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5C" w:rsidRPr="003270FE" w:rsidRDefault="00845C5C" w:rsidP="00845C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bookmark48"/>
      <w:bookmarkEnd w:id="0"/>
      <w:r w:rsidRPr="003270FE">
        <w:rPr>
          <w:rFonts w:ascii="Times New Roman" w:hAnsi="Times New Roman"/>
          <w:b/>
          <w:sz w:val="24"/>
          <w:szCs w:val="24"/>
        </w:rPr>
        <w:t>I</w:t>
      </w:r>
      <w:r w:rsidR="00560F53">
        <w:rPr>
          <w:rFonts w:ascii="Times New Roman" w:hAnsi="Times New Roman"/>
          <w:b/>
          <w:sz w:val="24"/>
          <w:szCs w:val="24"/>
        </w:rPr>
        <w:t>II 5</w:t>
      </w:r>
      <w:r w:rsidR="00211A82">
        <w:rPr>
          <w:rFonts w:ascii="Times New Roman" w:hAnsi="Times New Roman"/>
          <w:b/>
          <w:sz w:val="24"/>
          <w:szCs w:val="24"/>
        </w:rPr>
        <w:t>.1</w:t>
      </w:r>
      <w:r w:rsidRPr="003270FE">
        <w:rPr>
          <w:rFonts w:ascii="Times New Roman" w:hAnsi="Times New Roman"/>
          <w:b/>
          <w:sz w:val="24"/>
          <w:szCs w:val="24"/>
        </w:rPr>
        <w:t xml:space="preserve">.A - </w:t>
      </w:r>
      <w:r w:rsidR="00020BC4" w:rsidRPr="00020BC4">
        <w:rPr>
          <w:rFonts w:ascii="Times New Roman" w:hAnsi="Times New Roman"/>
          <w:b/>
          <w:sz w:val="24"/>
          <w:szCs w:val="24"/>
        </w:rPr>
        <w:t>L’evoluzione dei mercati delle telecomunicazioni tra realtà e prospettive</w:t>
      </w:r>
    </w:p>
    <w:p w:rsidR="00845C5C" w:rsidRDefault="00845C5C" w:rsidP="00845C5C">
      <w:pPr>
        <w:widowControl w:val="0"/>
        <w:tabs>
          <w:tab w:val="left" w:pos="2582"/>
        </w:tabs>
        <w:spacing w:before="46" w:after="0" w:line="240" w:lineRule="auto"/>
        <w:ind w:right="261" w:firstLine="708"/>
        <w:outlineLvl w:val="4"/>
        <w:rPr>
          <w:rFonts w:ascii="Verdana" w:eastAsia="Verdana" w:hAnsi="Verdana" w:cs="Times New Roman"/>
          <w:sz w:val="30"/>
          <w:szCs w:val="30"/>
        </w:rPr>
      </w:pPr>
    </w:p>
    <w:p w:rsidR="00020BC4" w:rsidRPr="00300318" w:rsidRDefault="004426E4" w:rsidP="00FA7C03">
      <w:pPr>
        <w:tabs>
          <w:tab w:val="left" w:pos="184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Principali trend del 2015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La spesa di famiglie ed imprese in servizi di telecomunicazione nel 2015 mostra una riduzione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6E4">
        <w:rPr>
          <w:rFonts w:ascii="Times New Roman" w:eastAsia="Calibri" w:hAnsi="Times New Roman" w:cs="Times New Roman"/>
          <w:sz w:val="24"/>
          <w:szCs w:val="24"/>
        </w:rPr>
        <w:t>dell’1,4% che risulta notevolmente più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contenuta rispetto a quella dell’anno precedente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(–6,5%).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Continuano a contrarsi i tradizionali servizi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voce (–8,2%), ma crescono le risorse derivanti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dai servizi dati (+4,8%).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Gli investimenti in infrastrutture di telecomunicazioni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crescono consistentemente (+24%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per la rete fissa, +15,5% per la rete mobile).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La domanda inizia a seguire l’offerta; nel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corso del 2015 sono raddoppiati gli accessi </w:t>
      </w:r>
      <w:r w:rsidRPr="001776A1">
        <w:rPr>
          <w:rFonts w:ascii="Times New Roman" w:eastAsia="Calibri" w:hAnsi="Times New Roman" w:cs="Times New Roman"/>
          <w:i/>
          <w:sz w:val="24"/>
          <w:szCs w:val="24"/>
        </w:rPr>
        <w:t>ultrabroadband</w:t>
      </w:r>
      <w:r w:rsidRPr="004426E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Aumenta la diffusione della larga banda mobile;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il numero di SIM utilizzate anche per servizi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dati ha superato quello delle SIM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utilizzate esclusivamente per traffico vocale.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Il quadro concorrenziale del 2015, nella rete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fissa, evolve secondo dinamiche simili a quelle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sperimentate l’anno precedente: ad una progressiva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riduzione della quota di mercato di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Telecom Italia si affianca una crescita dei principali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competitor ed in particolare degli operatori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di accesso </w:t>
      </w:r>
      <w:r w:rsidRPr="001776A1">
        <w:rPr>
          <w:rFonts w:ascii="Times New Roman" w:eastAsia="Calibri" w:hAnsi="Times New Roman" w:cs="Times New Roman"/>
          <w:i/>
          <w:sz w:val="24"/>
          <w:szCs w:val="24"/>
        </w:rPr>
        <w:t>Fixed Wireless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(FWA) i quali,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tuttavia, sotto il profilo quantitativo rappresentano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un fenomeno ancora marginale.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Il mercato sembra in attesa degli effetti, nella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rete fissa, dell’entrata di Enel sul mercato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della larga banda, e nelle telecomunicazioni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mobili degli effetti derivanti dall’eventuale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fusione tra gli operatori Wind e H3G.</w:t>
      </w:r>
    </w:p>
    <w:p w:rsidR="004426E4" w:rsidRPr="004426E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4426E4">
        <w:rPr>
          <w:rFonts w:ascii="Times New Roman" w:eastAsia="Calibri" w:hAnsi="Times New Roman" w:cs="Times New Roman"/>
          <w:sz w:val="24"/>
          <w:szCs w:val="24"/>
        </w:rPr>
        <w:t xml:space="preserve"> Il processo di convergenza tra telecomunicazioni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di rete fissa e media inizia a registrare sviluppi</w:t>
      </w:r>
    </w:p>
    <w:p w:rsidR="00020BC4" w:rsidRDefault="004426E4" w:rsidP="00FA7C03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6E4">
        <w:rPr>
          <w:rFonts w:ascii="Times New Roman" w:eastAsia="Calibri" w:hAnsi="Times New Roman" w:cs="Times New Roman"/>
          <w:sz w:val="24"/>
          <w:szCs w:val="24"/>
        </w:rPr>
        <w:t>quantitativi di un certo rilievo; nel 2015 il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traffico dati, a fronte di una crescita delle linee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broadband complessivamente inferiore al 4%,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evidenzia un aumento annuo di circa il 30%.</w:t>
      </w:r>
    </w:p>
    <w:p w:rsidR="004426E4" w:rsidRDefault="004426E4" w:rsidP="00AF61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26E4" w:rsidRDefault="004426E4" w:rsidP="004426E4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6E4">
        <w:rPr>
          <w:rFonts w:ascii="Times New Roman" w:eastAsia="Calibri" w:hAnsi="Times New Roman" w:cs="Times New Roman"/>
          <w:sz w:val="24"/>
          <w:szCs w:val="24"/>
        </w:rPr>
        <w:t>Nel settore delle telecomunicazioni nel 2015 è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possibile ravvisare un freno alla flessione delle risorse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complessive registrata negli anni precedenti,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come misurato dal rapporto fra ricavi da servizi 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Prodotto Interno Lordo, dalla riduzione nella flessione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della spesa delle famiglie in servizi di TLC,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mentre per gli investimenti in infrastrutture di rete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fissa e mobile si può osservare un incremento del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loro peso su quelli complessivi di un punto percentuale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26E4" w:rsidRDefault="004426E4" w:rsidP="00A874B7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26E4">
        <w:rPr>
          <w:rFonts w:ascii="Times New Roman" w:eastAsia="Calibri" w:hAnsi="Times New Roman" w:cs="Times New Roman"/>
          <w:sz w:val="24"/>
          <w:szCs w:val="24"/>
        </w:rPr>
        <w:t>L’andamento generale dei ricavi nelle reti di telecomunicazioni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fisse e mobili è fortemente influenzato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dall’andamento dei prezzi dei servizi il quale,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426E4">
        <w:rPr>
          <w:rFonts w:ascii="Times New Roman" w:eastAsia="Calibri" w:hAnsi="Times New Roman" w:cs="Times New Roman"/>
          <w:sz w:val="24"/>
          <w:szCs w:val="24"/>
        </w:rPr>
        <w:t>specificamente costruito per ottenere una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misura sintetica dei prezzi dei servizi di telecomunicazioni,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mostra negli ultimi anni un andamento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nettamente più contenuto rispetto all’indice generale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dei prezzi. Va evidenziato che nel corso del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2015 si è registrato un leggero aumento dell’indice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dei prezzi delle telecomunicazioni (+1,37%) dovuto,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in particolare, all’aumento dei prezzi dei terminali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mobili (+2,3%) il quale – è bene precisare – è stato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determinato dal miglioramento delle prestazioni e</w:t>
      </w:r>
      <w:r w:rsidR="00A874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74B7" w:rsidRPr="00A874B7">
        <w:rPr>
          <w:rFonts w:ascii="Times New Roman" w:eastAsia="Calibri" w:hAnsi="Times New Roman" w:cs="Times New Roman"/>
          <w:sz w:val="24"/>
          <w:szCs w:val="24"/>
        </w:rPr>
        <w:t>della qualità media dei terminali.</w:t>
      </w:r>
    </w:p>
    <w:p w:rsidR="004426E4" w:rsidRDefault="00A874B7" w:rsidP="00A874B7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74B7">
        <w:rPr>
          <w:rFonts w:ascii="Times New Roman" w:eastAsia="Calibri" w:hAnsi="Times New Roman" w:cs="Times New Roman"/>
          <w:sz w:val="24"/>
          <w:szCs w:val="24"/>
        </w:rPr>
        <w:t>Per quanto riguarda la forza lavoro, nel 2015 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4B7">
        <w:rPr>
          <w:rFonts w:ascii="Times New Roman" w:eastAsia="Calibri" w:hAnsi="Times New Roman" w:cs="Times New Roman"/>
          <w:sz w:val="24"/>
          <w:szCs w:val="24"/>
        </w:rPr>
        <w:t>è nella sostanza arrestata la flessione degli addetti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4B7">
        <w:rPr>
          <w:rFonts w:ascii="Times New Roman" w:eastAsia="Calibri" w:hAnsi="Times New Roman" w:cs="Times New Roman"/>
          <w:sz w:val="24"/>
          <w:szCs w:val="24"/>
        </w:rPr>
        <w:t>in atto da tempo, a seguito, principalmente, dei processi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4B7">
        <w:rPr>
          <w:rFonts w:ascii="Times New Roman" w:eastAsia="Calibri" w:hAnsi="Times New Roman" w:cs="Times New Roman"/>
          <w:sz w:val="24"/>
          <w:szCs w:val="24"/>
        </w:rPr>
        <w:t>di riorganizzazione messi in atto dalle imprese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4B7">
        <w:rPr>
          <w:rFonts w:ascii="Times New Roman" w:eastAsia="Calibri" w:hAnsi="Times New Roman" w:cs="Times New Roman"/>
          <w:sz w:val="24"/>
          <w:szCs w:val="24"/>
        </w:rPr>
        <w:t>negli anni precedenti per fare fronte al difficile quadro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4B7">
        <w:rPr>
          <w:rFonts w:ascii="Times New Roman" w:eastAsia="Calibri" w:hAnsi="Times New Roman" w:cs="Times New Roman"/>
          <w:sz w:val="24"/>
          <w:szCs w:val="24"/>
        </w:rPr>
        <w:t>macroeconomico ed alla crescente competizione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4B7">
        <w:rPr>
          <w:rFonts w:ascii="Times New Roman" w:eastAsia="Calibri" w:hAnsi="Times New Roman" w:cs="Times New Roman"/>
          <w:sz w:val="24"/>
          <w:szCs w:val="24"/>
        </w:rPr>
        <w:t>sui prezzi.</w:t>
      </w:r>
    </w:p>
    <w:p w:rsidR="00020BC4" w:rsidRPr="00020BC4" w:rsidRDefault="00020BC4" w:rsidP="00AF61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BC4" w:rsidRDefault="00020BC4" w:rsidP="00AF61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20BC4">
        <w:rPr>
          <w:rFonts w:ascii="Times New Roman" w:eastAsia="Calibri" w:hAnsi="Times New Roman" w:cs="Times New Roman"/>
          <w:i/>
          <w:sz w:val="24"/>
          <w:szCs w:val="24"/>
        </w:rPr>
        <w:t>Le dinamiche del settore</w:t>
      </w:r>
    </w:p>
    <w:p w:rsidR="005E762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>Nel 2015, come già accennato in precedenza, 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risorse degli operatori di telecomunicazione hanno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continuato a ridursi, anche se in misura notevolmente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più contenuta rispetto agli anni passati; la flessione, infatti, è risultata nel complesso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mediamente pari all’1,5%, e lievemente più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ampia per i servizi di rete fissa (–2,5%) rispetto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quelli di rete mobile (–0,5%), ma minore rispetto alla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flessione del 7,7%, registrata tra il 2013 e il 2014.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762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lastRenderedPageBreak/>
        <w:t>Se si osserva la spesa dell’utenza residenziale 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affari, dal punto di vista dei tassi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in servizi di rete fissa</w:t>
      </w:r>
      <w:r w:rsidR="00C74788">
        <w:rPr>
          <w:rFonts w:ascii="Times New Roman" w:eastAsia="Calibri" w:hAnsi="Times New Roman" w:cs="Times New Roman"/>
          <w:sz w:val="24"/>
          <w:szCs w:val="24"/>
        </w:rPr>
        <w:t>, si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evidenzia una riduzione poco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superiore al 2%, mentre per i servizi di rete mobile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la flessione risulta più contenuta e pari allo 0,6%.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79E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>L’andamento dei ricavi delle due principali tipologie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di servizi offerti alla clientela, servizi voce 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accesso a banda larga, testimonia la profonda evoluzione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che ha caratterizzato il settore negli ultimi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anni. Infatti, mentre nel 2010 gli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introiti derivanti da servizi voce ammontavano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quasi il doppio di quelli derivanti da servizi dati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(18,21 miliardi di euro rispetto ai 9,35 miliardi), nel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2015 i ricavi sono arrivati ad eguagliarsi raggiungendo,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per ciascuna tipologia di servizio, valori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prossimi ai 10,5 miliardi di euro.</w:t>
      </w:r>
      <w:bookmarkStart w:id="1" w:name="_GoBack"/>
      <w:bookmarkEnd w:id="1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È quindi possibile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ipotizzare che a breve i ricavi da fornitura di servizi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dati eccederanno quelli da servizi voce.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Per quanto riguarda la componente dei ricavi attribuibile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ai servizi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wholesale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>, continua nel complesso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la dinamica di riduzione (–2,1%), ma è da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evidenziare come tale flessione abbia interessato,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nel corso del 2015, i soli ricavi da servizi di rete fissa.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 ricavi da servizi di rete mobile, infatti, si sono attestati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sul medesimo livello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dell’anno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precedente</w:t>
      </w:r>
      <w:r w:rsidR="00C7478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C74788" w:rsidRPr="00C74788">
        <w:rPr>
          <w:rFonts w:ascii="Times New Roman" w:eastAsia="Calibri" w:hAnsi="Times New Roman" w:cs="Times New Roman"/>
          <w:sz w:val="24"/>
          <w:szCs w:val="24"/>
        </w:rPr>
        <w:t>2,18 miliardi</w:t>
      </w:r>
      <w:r w:rsidR="00C74788">
        <w:rPr>
          <w:rFonts w:ascii="Times New Roman" w:eastAsia="Calibri" w:hAnsi="Times New Roman" w:cs="Times New Roman"/>
          <w:sz w:val="24"/>
          <w:szCs w:val="24"/>
        </w:rPr>
        <w:t>)</w:t>
      </w:r>
      <w:r w:rsidR="001A2DB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762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>La dinamica esibita negli ultimi anni dai ricavi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da servizi intermedi di rete fissa è legata sostanzialmente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alla stabilizzazione dei prezzi dei servizi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wholesale</w:t>
      </w:r>
      <w:proofErr w:type="spellEnd"/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derivante dal consolidamento del percorso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regolamentare intrapreso dall’Autorità nel 2013 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conclusosi con la delibera di analisi dei mercati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dell’accesso n. 623/15/CONS, nonché alla riduzione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dei volumi dei servizi intermedi che fanno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maggior uso di infrastrutture dell’operatore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incumbent</w:t>
      </w:r>
      <w:proofErr w:type="spellEnd"/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(quali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bitstream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e WLR) ed i cui prezzi sono, di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conseguenza, più elevati. </w:t>
      </w:r>
    </w:p>
    <w:p w:rsidR="005E762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>Alla dinamica dei ricavi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da servizi all’ingrosso di rete fissa ha certamente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contributo la riduzione dei prezzi dei servizi di interconnessione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di rete fissa, che sono diminuiti di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circa l’11%, e la riduzione dei volumi (–0,7%) dei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servizi di accesso </w:t>
      </w:r>
      <w:proofErr w:type="spellStart"/>
      <w:r w:rsidRPr="001776A1">
        <w:rPr>
          <w:rFonts w:ascii="Times New Roman" w:eastAsia="Calibri" w:hAnsi="Times New Roman" w:cs="Times New Roman"/>
          <w:i/>
          <w:sz w:val="24"/>
          <w:szCs w:val="24"/>
        </w:rPr>
        <w:t>wholesale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tradizionale (ULL,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A2DBC">
        <w:rPr>
          <w:rFonts w:ascii="Times New Roman" w:eastAsia="Calibri" w:hAnsi="Times New Roman" w:cs="Times New Roman"/>
          <w:sz w:val="24"/>
          <w:szCs w:val="24"/>
        </w:rPr>
        <w:t xml:space="preserve">VULL,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shared</w:t>
      </w:r>
      <w:proofErr w:type="spellEnd"/>
      <w:r w:rsidRP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access</w:t>
      </w:r>
      <w:proofErr w:type="spellEnd"/>
      <w:r w:rsidRPr="001A2DBC">
        <w:rPr>
          <w:rFonts w:ascii="Times New Roman" w:eastAsia="Calibri" w:hAnsi="Times New Roman" w:cs="Times New Roman"/>
          <w:sz w:val="24"/>
          <w:szCs w:val="24"/>
        </w:rPr>
        <w:t xml:space="preserve">, WLR e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bitstream</w:t>
      </w:r>
      <w:proofErr w:type="spellEnd"/>
      <w:r w:rsidRPr="001A2DBC">
        <w:rPr>
          <w:rFonts w:ascii="Times New Roman" w:eastAsia="Calibri" w:hAnsi="Times New Roman" w:cs="Times New Roman"/>
          <w:sz w:val="24"/>
          <w:szCs w:val="24"/>
        </w:rPr>
        <w:t>).</w:t>
      </w:r>
      <w:r w:rsidR="001A2DBC" w:rsidRP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Sulla dinamica dei ricavi da servizi di rete mobile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degli ultimi due anni ha certamente inciso il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path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dei prezzi dei servizi di terminazione su rete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mobile che prevede il consolidamento del loro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prezzo a 0,98 €cent/</w:t>
      </w:r>
      <w:proofErr w:type="spellStart"/>
      <w:r w:rsidRPr="008379E8">
        <w:rPr>
          <w:rFonts w:ascii="Times New Roman" w:eastAsia="Calibri" w:hAnsi="Times New Roman" w:cs="Times New Roman"/>
          <w:sz w:val="24"/>
          <w:szCs w:val="24"/>
        </w:rPr>
        <w:t>min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in via simmetrica per tutti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gli operatori (delibera n. 497/15/CONS).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762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L’andamento dei ricavi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t>retail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per tipologia di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clientela nel 2015 mostra una riduzione,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su base annua, più marcata per il segmento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affari (–1,8%) rispetto a quello residenziale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(–1,2%). Si tratta, comunque, di variazioni nettamente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più contenute rispetto a quelle registrate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l’anno scorso, quando il segmento affari si era ridotto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del 6% ed il segmento residenziale dell’8,2%.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E762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>Gli investimenti complessivi in infrastrutture mostrano una crescita superiore al 20%,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arrivando a sfiorare, nel 2015, un ammontare di 7,4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miliardi di euro. Nello specifico, le attività d’investimento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nella rete fissa sono aumentate del 24%, principalmente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grazie agli investimenti di Telecom Italia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e Vodafone, che sono cresciuti nel complesso di circa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700 milioni (+30%) rispetto allo scorso anno. Sono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aumentati anche gli investimenti degli operatori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FWA, che hanno raggiunto i 135 milioni con una crescita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del 70% rispetto al 2014. Anche gli investimenti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in infrastrutture nella rete mobile crescono in misura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consistente rispetto all’anno precedente (+15,5%);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basti pensare che gli investimenti di Telecom Italia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e Vodafone, congiuntamente, hanno superato i 2,1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miliardi di euro. Diminuiscono, invece, in misura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consistente (–50% circa) gli investimenti degli operatori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mobili virtuali, anche se in termini assoluti tale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riduzione appare marginale.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79E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79E8">
        <w:rPr>
          <w:rFonts w:ascii="Times New Roman" w:eastAsia="Calibri" w:hAnsi="Times New Roman" w:cs="Times New Roman"/>
          <w:sz w:val="24"/>
          <w:szCs w:val="24"/>
        </w:rPr>
        <w:t>Con riferimento alla distribuzione della spesa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per servizi di rete fissa e mobile delle famiglie 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delle imprese tra i principali operatori, si osserva una relativa stabilità. Il peso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dei primi tre operatori è in diminuzione,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rispettivamente di 0,7 punti percentuali (Telecom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Italia), di 0,2 punti percentuali (Vodafone) e di 0,1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punti percentuali (Wind); crescono le quote di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mercato degli altri operatori, tra i quali H3G con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+0,4 punti percentuali, Fastweb e la categoria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“Altri” operatori con +0,3 punti percentuali e BT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Italia +0,1 punti percentuali.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In questo contesto, si evidenzia che l’Autorità ha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recentemente approvato il primo capitolo dell’indagine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conoscitiva concernente lo sviluppo delle piattaforme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digitali e dei servizi di comunicazione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elettronica, avviata con delibera n. 357/15/CONS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dell’8 giugno 2015. Tale primo capitolo analizza le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caratteristiche e l’evoluzione del mercato dei cosiddetti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“</w:t>
      </w:r>
      <w:r w:rsidRPr="00D21C55">
        <w:rPr>
          <w:rFonts w:ascii="Times New Roman" w:eastAsia="Calibri" w:hAnsi="Times New Roman" w:cs="Times New Roman"/>
          <w:i/>
          <w:sz w:val="24"/>
          <w:szCs w:val="24"/>
        </w:rPr>
        <w:t xml:space="preserve">consumer </w:t>
      </w:r>
      <w:proofErr w:type="spellStart"/>
      <w:r w:rsidRPr="00D21C55">
        <w:rPr>
          <w:rFonts w:ascii="Times New Roman" w:eastAsia="Calibri" w:hAnsi="Times New Roman" w:cs="Times New Roman"/>
          <w:i/>
          <w:sz w:val="24"/>
          <w:szCs w:val="24"/>
        </w:rPr>
        <w:t>communication</w:t>
      </w:r>
      <w:proofErr w:type="spellEnd"/>
      <w:r w:rsidRPr="00D21C5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D21C55">
        <w:rPr>
          <w:rFonts w:ascii="Times New Roman" w:eastAsia="Calibri" w:hAnsi="Times New Roman" w:cs="Times New Roman"/>
          <w:i/>
          <w:sz w:val="24"/>
          <w:szCs w:val="24"/>
        </w:rPr>
        <w:t>services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>” – applicazioni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principalmente usate da </w:t>
      </w:r>
      <w:proofErr w:type="spellStart"/>
      <w:r w:rsidRPr="005E7628">
        <w:rPr>
          <w:rFonts w:ascii="Times New Roman" w:eastAsia="Calibri" w:hAnsi="Times New Roman" w:cs="Times New Roman"/>
          <w:i/>
          <w:sz w:val="24"/>
          <w:szCs w:val="24"/>
        </w:rPr>
        <w:lastRenderedPageBreak/>
        <w:t>device</w:t>
      </w:r>
      <w:proofErr w:type="spellEnd"/>
      <w:r w:rsidRPr="008379E8">
        <w:rPr>
          <w:rFonts w:ascii="Times New Roman" w:eastAsia="Calibri" w:hAnsi="Times New Roman" w:cs="Times New Roman"/>
          <w:sz w:val="24"/>
          <w:szCs w:val="24"/>
        </w:rPr>
        <w:t xml:space="preserve"> mobile che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consentono lo scambio di contenuti vocali, messaggi,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foto e video fra due o più utenti – per poi esaminare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le problematiche di natura concorrenziale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ad essi connesse al fine di formulare alcune ipotesi</w:t>
      </w:r>
      <w:r w:rsidR="001A2D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79E8">
        <w:rPr>
          <w:rFonts w:ascii="Times New Roman" w:eastAsia="Calibri" w:hAnsi="Times New Roman" w:cs="Times New Roman"/>
          <w:sz w:val="24"/>
          <w:szCs w:val="24"/>
        </w:rPr>
        <w:t>di intervento regolamentare.</w:t>
      </w:r>
    </w:p>
    <w:p w:rsidR="008379E8" w:rsidRPr="008379E8" w:rsidRDefault="008379E8" w:rsidP="008379E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BC4" w:rsidRPr="00730C49" w:rsidRDefault="00020BC4" w:rsidP="00AF61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30C49">
        <w:rPr>
          <w:rFonts w:ascii="Times New Roman" w:eastAsia="Calibri" w:hAnsi="Times New Roman" w:cs="Times New Roman"/>
          <w:i/>
          <w:sz w:val="24"/>
          <w:szCs w:val="24"/>
        </w:rPr>
        <w:t>I mercati di rete fissa</w:t>
      </w:r>
    </w:p>
    <w:p w:rsidR="00730C49" w:rsidRDefault="00D21C55" w:rsidP="00D21C55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C55">
        <w:rPr>
          <w:rFonts w:ascii="Times New Roman" w:eastAsia="Calibri" w:hAnsi="Times New Roman" w:cs="Times New Roman"/>
          <w:sz w:val="24"/>
          <w:szCs w:val="24"/>
        </w:rPr>
        <w:t>Nel 2015 si osserva, anche se con inte</w:t>
      </w:r>
      <w:r>
        <w:rPr>
          <w:rFonts w:ascii="Times New Roman" w:eastAsia="Calibri" w:hAnsi="Times New Roman" w:cs="Times New Roman"/>
          <w:sz w:val="24"/>
          <w:szCs w:val="24"/>
        </w:rPr>
        <w:t>nsità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inferiore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allo scorso anno, una flessione negli introiti </w:t>
      </w:r>
      <w:proofErr w:type="spellStart"/>
      <w:r w:rsidRPr="00D21C55">
        <w:rPr>
          <w:rFonts w:ascii="Times New Roman" w:eastAsia="Calibri" w:hAnsi="Times New Roman" w:cs="Times New Roman"/>
          <w:i/>
          <w:iCs/>
          <w:sz w:val="24"/>
          <w:szCs w:val="24"/>
        </w:rPr>
        <w:t>retail</w:t>
      </w:r>
      <w:proofErr w:type="spellEnd"/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del 2,2%, attribuibile principalmente alla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riduzione dei ricavi da servizi di telefonia vocale (</w:t>
      </w:r>
      <w:r w:rsidRPr="00D21C55">
        <w:rPr>
          <w:rFonts w:ascii="Times New Roman" w:eastAsia="Calibri" w:hAnsi="Times New Roman" w:cs="Times New Roman" w:hint="eastAsia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>8,0%).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Pi</w:t>
      </w:r>
      <w:r>
        <w:rPr>
          <w:rFonts w:ascii="Times New Roman" w:eastAsia="Calibri" w:hAnsi="Times New Roman" w:cs="Times New Roman"/>
          <w:sz w:val="24"/>
          <w:szCs w:val="24"/>
        </w:rPr>
        <w:t>ù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nello specifico,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per i servizi di telefonia voce i volumi si sono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ridotti del 10,3% attestandosi su 49,4 miliardi di minuti;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unica direttrice a crescere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quella relativa alle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chiamate verso la rete mobile (+9,4%). Come gi</w:t>
      </w:r>
      <w:r>
        <w:rPr>
          <w:rFonts w:ascii="Times New Roman" w:eastAsia="Calibri" w:hAnsi="Times New Roman" w:cs="Times New Roman"/>
          <w:sz w:val="24"/>
          <w:szCs w:val="24"/>
        </w:rPr>
        <w:t>à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segnalato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nella scorsa Relazione annuale, tale fenomeno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pu</w:t>
      </w:r>
      <w:r>
        <w:rPr>
          <w:rFonts w:ascii="Times New Roman" w:eastAsia="Calibri" w:hAnsi="Times New Roman" w:cs="Times New Roman"/>
          <w:sz w:val="24"/>
          <w:szCs w:val="24"/>
        </w:rPr>
        <w:t>ò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in parte essere ricondotto alla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progressiva crescita delle offerte integrate di servizi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fisso-mobile proposte dagli operatori presenti sia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nel mercato della telefonia fissa, sia in quello della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telefonia mobile.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C49" w:rsidRDefault="00D21C55" w:rsidP="00730C49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1C55">
        <w:rPr>
          <w:rFonts w:ascii="Times New Roman" w:eastAsia="Calibri" w:hAnsi="Times New Roman" w:cs="Times New Roman"/>
          <w:sz w:val="24"/>
          <w:szCs w:val="24"/>
        </w:rPr>
        <w:t>I ricavi derivanti dai servizi dati, invece, evidenziano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una crescita del 3,6%, superiore a quella, del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2,4%, registrata l</w:t>
      </w:r>
      <w:r w:rsidR="00C74788">
        <w:rPr>
          <w:rFonts w:ascii="Times New Roman" w:eastAsia="Calibri" w:hAnsi="Times New Roman" w:cs="Times New Roman"/>
          <w:sz w:val="24"/>
          <w:szCs w:val="24"/>
        </w:rPr>
        <w:t>’</w:t>
      </w:r>
      <w:r w:rsidRPr="00D21C55">
        <w:rPr>
          <w:rFonts w:ascii="Times New Roman" w:eastAsia="Calibri" w:hAnsi="Times New Roman" w:cs="Times New Roman"/>
          <w:sz w:val="24"/>
          <w:szCs w:val="24"/>
        </w:rPr>
        <w:t>anno scorso; ci</w:t>
      </w:r>
      <w:r w:rsidR="00730C49">
        <w:rPr>
          <w:rFonts w:ascii="Times New Roman" w:eastAsia="Calibri" w:hAnsi="Times New Roman" w:cs="Times New Roman"/>
          <w:sz w:val="24"/>
          <w:szCs w:val="24"/>
        </w:rPr>
        <w:t>ò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 riconducibile sia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all</w:t>
      </w:r>
      <w:r w:rsidR="00730C49">
        <w:rPr>
          <w:rFonts w:ascii="Times New Roman" w:eastAsia="Calibri" w:hAnsi="Times New Roman" w:cs="Times New Roman"/>
          <w:sz w:val="24"/>
          <w:szCs w:val="24"/>
        </w:rPr>
        <w:t>’</w:t>
      </w:r>
      <w:r w:rsidRPr="00D21C55">
        <w:rPr>
          <w:rFonts w:ascii="Times New Roman" w:eastAsia="Calibri" w:hAnsi="Times New Roman" w:cs="Times New Roman"/>
          <w:sz w:val="24"/>
          <w:szCs w:val="24"/>
        </w:rPr>
        <w:t xml:space="preserve">aumento degli abbonamenti </w:t>
      </w:r>
      <w:r w:rsidRPr="00D21C5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broadband </w:t>
      </w:r>
      <w:r w:rsidRPr="00D21C55">
        <w:rPr>
          <w:rFonts w:ascii="Times New Roman" w:eastAsia="Calibri" w:hAnsi="Times New Roman" w:cs="Times New Roman"/>
          <w:sz w:val="24"/>
          <w:szCs w:val="24"/>
        </w:rPr>
        <w:t>su rete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1C55">
        <w:rPr>
          <w:rFonts w:ascii="Times New Roman" w:eastAsia="Calibri" w:hAnsi="Times New Roman" w:cs="Times New Roman"/>
          <w:sz w:val="24"/>
          <w:szCs w:val="24"/>
        </w:rPr>
        <w:t>fissa la cui consistenza media nel corso del 2015,</w:t>
      </w:r>
      <w:r w:rsidR="00730C49" w:rsidRPr="00730C49">
        <w:rPr>
          <w:rFonts w:ascii="Palatino-Roman" w:eastAsia="Palatino-Roman" w:cs="Palatino-Roman"/>
          <w:sz w:val="20"/>
          <w:szCs w:val="20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pari ad oltre 14,6 milioni,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 aumentata del 3% rispetto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al 2014, sia all</w:t>
      </w:r>
      <w:r w:rsidR="00730C49">
        <w:rPr>
          <w:rFonts w:ascii="Times New Roman" w:eastAsia="Calibri" w:hAnsi="Times New Roman" w:cs="Times New Roman"/>
          <w:sz w:val="24"/>
          <w:szCs w:val="24"/>
        </w:rPr>
        <w:t>’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aumento della porzione di abbonamenti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che prevede prestazioni di nuova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generazione per i quali, solitamente, viene corrisposto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un </w:t>
      </w:r>
      <w:r w:rsidR="00730C49"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premium </w:t>
      </w:r>
      <w:proofErr w:type="spellStart"/>
      <w:r w:rsidR="00730C49"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>price</w:t>
      </w:r>
      <w:proofErr w:type="spellEnd"/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. Al riguardo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 interessante evidenziare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come la consistenza media annua in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termini percentuali dei collegamenti </w:t>
      </w:r>
      <w:r w:rsidR="00730C49"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broadband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con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velocita superiore a 10 Mbps sia passata dal 19,2%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al 24,9% delle linee totali e la consistenza media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degli accessi </w:t>
      </w:r>
      <w:r w:rsidR="00730C49"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broadband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NGA si attesti su di un valore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prossimo ad 1,1 milioni di unita, il che costituisce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un incremento quasi pari al 100% rispetto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all</w:t>
      </w:r>
      <w:r w:rsidR="001776A1">
        <w:rPr>
          <w:rFonts w:ascii="Times New Roman" w:eastAsia="Calibri" w:hAnsi="Times New Roman" w:cs="Times New Roman"/>
          <w:sz w:val="24"/>
          <w:szCs w:val="24"/>
        </w:rPr>
        <w:t>’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anno precedente. L</w:t>
      </w:r>
      <w:r w:rsidR="00730C49">
        <w:rPr>
          <w:rFonts w:ascii="Times New Roman" w:eastAsia="Calibri" w:hAnsi="Times New Roman" w:cs="Times New Roman"/>
          <w:sz w:val="24"/>
          <w:szCs w:val="24"/>
        </w:rPr>
        <w:t>’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aumento degli abbonati 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della velocita media di connessione ha indotto una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crescita del traffico dati su rete fissa che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 possibile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 xml:space="preserve">stimare per il 2015 in circa 8.500 </w:t>
      </w:r>
      <w:proofErr w:type="spellStart"/>
      <w:r w:rsidR="00730C49" w:rsidRPr="00730C49">
        <w:rPr>
          <w:rFonts w:ascii="Times New Roman" w:eastAsia="Calibri" w:hAnsi="Times New Roman" w:cs="Times New Roman"/>
          <w:sz w:val="24"/>
          <w:szCs w:val="24"/>
        </w:rPr>
        <w:t>Petabyte</w:t>
      </w:r>
      <w:proofErr w:type="spellEnd"/>
      <w:r w:rsidR="00730C49" w:rsidRPr="00730C49">
        <w:rPr>
          <w:rFonts w:ascii="Times New Roman" w:eastAsia="Calibri" w:hAnsi="Times New Roman" w:cs="Times New Roman"/>
          <w:sz w:val="24"/>
          <w:szCs w:val="24"/>
        </w:rPr>
        <w:t>, un valore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30C49" w:rsidRPr="00730C49">
        <w:rPr>
          <w:rFonts w:ascii="Times New Roman" w:eastAsia="Calibri" w:hAnsi="Times New Roman" w:cs="Times New Roman"/>
          <w:sz w:val="24"/>
          <w:szCs w:val="24"/>
        </w:rPr>
        <w:t>superiore del 28% rispetto al traffico del 2014.</w:t>
      </w:r>
      <w:r w:rsidR="00730C4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C49" w:rsidRDefault="00730C49" w:rsidP="00730C49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C49">
        <w:rPr>
          <w:rFonts w:ascii="Times New Roman" w:eastAsia="Calibri" w:hAnsi="Times New Roman" w:cs="Times New Roman"/>
          <w:sz w:val="24"/>
          <w:szCs w:val="24"/>
        </w:rPr>
        <w:t>Relativamente al quadro competitivo del mercato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dei servizi </w:t>
      </w:r>
      <w:r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broadband </w:t>
      </w:r>
      <w:r w:rsidRPr="00730C49">
        <w:rPr>
          <w:rFonts w:ascii="Times New Roman" w:eastAsia="Calibri" w:hAnsi="Times New Roman" w:cs="Times New Roman"/>
          <w:sz w:val="24"/>
          <w:szCs w:val="24"/>
        </w:rPr>
        <w:t>offerti a famiglie ed imprese,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la quota di mercato di Telecom Italia continua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a ridursi attestandosi, a fine 2015, su valori intorno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al 47% delle linee a banda larga; si tratta di una riduzione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di 1,2 punti percentuali rispetto al 2014.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30C49" w:rsidRDefault="00730C49" w:rsidP="00730C49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C49">
        <w:rPr>
          <w:rFonts w:ascii="Times New Roman" w:eastAsia="Calibri" w:hAnsi="Times New Roman" w:cs="Times New Roman"/>
          <w:sz w:val="24"/>
          <w:szCs w:val="24"/>
        </w:rPr>
        <w:t>I fattori socio-culturali e demografici che caratterizzano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la diffusione, in Italia, delle tecnologie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dell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730C49">
        <w:rPr>
          <w:rFonts w:ascii="Times New Roman" w:eastAsia="Calibri" w:hAnsi="Times New Roman" w:cs="Times New Roman"/>
          <w:sz w:val="24"/>
          <w:szCs w:val="24"/>
        </w:rPr>
        <w:t>informazione, e di Internet in particolare, sembrano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non essere variati rispetto all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730C49">
        <w:rPr>
          <w:rFonts w:ascii="Times New Roman" w:eastAsia="Calibri" w:hAnsi="Times New Roman" w:cs="Times New Roman"/>
          <w:sz w:val="24"/>
          <w:szCs w:val="24"/>
        </w:rPr>
        <w:t>anno precedente: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88% delle famiglie in cui vi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 almeno un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minorenne dispone di connessione a banda larga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(fissa e mobile), ma solo il 18% delle famiglie dove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vi sono ultrasessantacinquenni dispone di una accesso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>broadband</w:t>
      </w:r>
      <w:r w:rsidRPr="00730C49">
        <w:rPr>
          <w:rFonts w:ascii="Times New Roman" w:eastAsia="Calibri" w:hAnsi="Times New Roman" w:cs="Times New Roman"/>
          <w:sz w:val="24"/>
          <w:szCs w:val="24"/>
        </w:rPr>
        <w:t>. Allo stesso tempo, 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730C49">
        <w:rPr>
          <w:rFonts w:ascii="Times New Roman" w:eastAsia="Calibri" w:hAnsi="Times New Roman" w:cs="Times New Roman"/>
          <w:sz w:val="24"/>
          <w:szCs w:val="24"/>
        </w:rPr>
        <w:t>89,4% delle famiglie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con almeno un componente laureato ha una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connessione a banda larga, valore che scende al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51,7% delle famiglie in cui il titolo di studio pi</w:t>
      </w:r>
      <w:r>
        <w:rPr>
          <w:rFonts w:ascii="Times New Roman" w:eastAsia="Calibri" w:hAnsi="Times New Roman" w:cs="Times New Roman"/>
          <w:sz w:val="24"/>
          <w:szCs w:val="24"/>
        </w:rPr>
        <w:t>ù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 elevato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 la licenza media.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21C55" w:rsidRDefault="00730C49" w:rsidP="00730C49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30C49">
        <w:rPr>
          <w:rFonts w:ascii="Times New Roman" w:eastAsia="Calibri" w:hAnsi="Times New Roman" w:cs="Times New Roman"/>
          <w:sz w:val="24"/>
          <w:szCs w:val="24"/>
        </w:rPr>
        <w:t>La diffusione dei servizi di accesso a banda larga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si attesta, su base nazionale, su valori pari al 24,49%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della popolazione e al 57,7% delle famiglie. Se 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volge invece lo sguardo agli accessi </w:t>
      </w:r>
      <w:r w:rsidRPr="00730C49">
        <w:rPr>
          <w:rFonts w:ascii="Times New Roman" w:eastAsia="Calibri" w:hAnsi="Times New Roman" w:cs="Times New Roman"/>
          <w:i/>
          <w:iCs/>
          <w:sz w:val="24"/>
          <w:szCs w:val="24"/>
        </w:rPr>
        <w:t>ultrabroadband</w:t>
      </w:r>
      <w:r w:rsidRPr="00730C4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si rileva che la loro diffusione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 pari al 2,4% della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popolazione ed al 5,5% delle famiglie. Permangono,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tuttavia, rilevanti differenze nella diffusione dei servizi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a livello geografico che riportano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>la diffusione</w:t>
      </w:r>
      <w:r w:rsidR="00C74788">
        <w:rPr>
          <w:rFonts w:ascii="Times New Roman" w:eastAsia="Calibri" w:hAnsi="Times New Roman" w:cs="Times New Roman"/>
          <w:sz w:val="24"/>
          <w:szCs w:val="24"/>
        </w:rPr>
        <w:t>, nelle P</w:t>
      </w:r>
      <w:r w:rsidRPr="00730C49">
        <w:rPr>
          <w:rFonts w:ascii="Times New Roman" w:eastAsia="Calibri" w:hAnsi="Times New Roman" w:cs="Times New Roman"/>
          <w:sz w:val="24"/>
          <w:szCs w:val="24"/>
        </w:rPr>
        <w:t>rovince</w:t>
      </w:r>
      <w:r w:rsidR="00C74788">
        <w:rPr>
          <w:rFonts w:ascii="Times New Roman" w:eastAsia="Calibri" w:hAnsi="Times New Roman" w:cs="Times New Roman"/>
          <w:sz w:val="24"/>
          <w:szCs w:val="24"/>
        </w:rPr>
        <w:t>,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 dei servizi di accesso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30C49">
        <w:rPr>
          <w:rFonts w:ascii="Times New Roman" w:eastAsia="Calibri" w:hAnsi="Times New Roman" w:cs="Times New Roman"/>
          <w:sz w:val="24"/>
          <w:szCs w:val="24"/>
        </w:rPr>
        <w:t xml:space="preserve">a banda larga e a banda </w:t>
      </w:r>
      <w:proofErr w:type="spellStart"/>
      <w:r w:rsidRPr="00730C49">
        <w:rPr>
          <w:rFonts w:ascii="Times New Roman" w:eastAsia="Calibri" w:hAnsi="Times New Roman" w:cs="Times New Roman"/>
          <w:sz w:val="24"/>
          <w:szCs w:val="24"/>
        </w:rPr>
        <w:t>ultralarga</w:t>
      </w:r>
      <w:proofErr w:type="spellEnd"/>
      <w:r w:rsidRPr="00730C4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E00F2" w:rsidRDefault="009E00F2" w:rsidP="009E00F2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0F2">
        <w:rPr>
          <w:rFonts w:ascii="Times New Roman" w:eastAsia="Calibri" w:hAnsi="Times New Roman" w:cs="Times New Roman"/>
          <w:sz w:val="24"/>
          <w:szCs w:val="24"/>
        </w:rPr>
        <w:t>Nel complesso si conferma quanto gi</w:t>
      </w:r>
      <w:r>
        <w:rPr>
          <w:rFonts w:ascii="Times New Roman" w:eastAsia="Calibri" w:hAnsi="Times New Roman" w:cs="Times New Roman"/>
          <w:sz w:val="24"/>
          <w:szCs w:val="24"/>
        </w:rPr>
        <w:t>à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evidenziato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nella Relazione annuale dello scorso anno;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anche nel 2015, infatti, emerge il sostanziale divario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tra le Province del Meridione e quelle del C</w:t>
      </w:r>
      <w:r w:rsidRPr="009E00F2">
        <w:rPr>
          <w:rFonts w:ascii="Times New Roman" w:eastAsia="Calibri" w:hAnsi="Times New Roman" w:cs="Times New Roman"/>
          <w:sz w:val="24"/>
          <w:szCs w:val="24"/>
        </w:rPr>
        <w:t>entro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N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ord, anche se nel </w:t>
      </w:r>
      <w:r w:rsidRPr="009E00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ranking </w:t>
      </w:r>
      <w:r w:rsidR="00C74788">
        <w:rPr>
          <w:rFonts w:ascii="Times New Roman" w:eastAsia="Calibri" w:hAnsi="Times New Roman" w:cs="Times New Roman"/>
          <w:sz w:val="24"/>
          <w:szCs w:val="24"/>
        </w:rPr>
        <w:t>delle 10 P</w:t>
      </w:r>
      <w:r w:rsidRPr="009E00F2">
        <w:rPr>
          <w:rFonts w:ascii="Times New Roman" w:eastAsia="Calibri" w:hAnsi="Times New Roman" w:cs="Times New Roman"/>
          <w:sz w:val="24"/>
          <w:szCs w:val="24"/>
        </w:rPr>
        <w:t>rovince con 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maggiore diffu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sione della banda larga e delle </w:t>
      </w:r>
      <w:r w:rsidRPr="009E00F2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P</w:t>
      </w:r>
      <w:r w:rsidRPr="009E00F2">
        <w:rPr>
          <w:rFonts w:ascii="Times New Roman" w:eastAsia="Calibri" w:hAnsi="Times New Roman" w:cs="Times New Roman"/>
          <w:sz w:val="24"/>
          <w:szCs w:val="24"/>
        </w:rPr>
        <w:t>rovince con la minore diffusione della banda larga,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che comunque </w:t>
      </w:r>
      <w:r w:rsidR="00C74788">
        <w:rPr>
          <w:rFonts w:ascii="Times New Roman" w:eastAsia="Calibri" w:hAnsi="Times New Roman" w:cs="Times New Roman"/>
          <w:sz w:val="24"/>
          <w:szCs w:val="24"/>
        </w:rPr>
        <w:t>conferma la polarizzazione fra P</w:t>
      </w:r>
      <w:r w:rsidRPr="009E00F2">
        <w:rPr>
          <w:rFonts w:ascii="Times New Roman" w:eastAsia="Calibri" w:hAnsi="Times New Roman" w:cs="Times New Roman"/>
          <w:sz w:val="24"/>
          <w:szCs w:val="24"/>
        </w:rPr>
        <w:t>rovince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del Centro-Nord e province del S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ud,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possibile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osservare la presenza di alcune province del sud 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delle isole (Brindisi e Messina) fra le province virtuose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E00F2" w:rsidRDefault="009E00F2" w:rsidP="009E00F2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0F2">
        <w:rPr>
          <w:rFonts w:ascii="Times New Roman" w:eastAsia="Calibri" w:hAnsi="Times New Roman" w:cs="Times New Roman"/>
          <w:sz w:val="24"/>
          <w:szCs w:val="24"/>
        </w:rPr>
        <w:t>Per quant</w:t>
      </w:r>
      <w:r w:rsidR="00C74788">
        <w:rPr>
          <w:rFonts w:ascii="Times New Roman" w:eastAsia="Calibri" w:hAnsi="Times New Roman" w:cs="Times New Roman"/>
          <w:sz w:val="24"/>
          <w:szCs w:val="24"/>
        </w:rPr>
        <w:t>o riguarda la diffusione nelle P</w:t>
      </w:r>
      <w:r w:rsidRPr="009E00F2">
        <w:rPr>
          <w:rFonts w:ascii="Times New Roman" w:eastAsia="Calibri" w:hAnsi="Times New Roman" w:cs="Times New Roman"/>
          <w:sz w:val="24"/>
          <w:szCs w:val="24"/>
        </w:rPr>
        <w:t>rovince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italiane di collegamenti potenzialmente a banda </w:t>
      </w:r>
      <w:proofErr w:type="spellStart"/>
      <w:r w:rsidRPr="009E00F2">
        <w:rPr>
          <w:rFonts w:ascii="Times New Roman" w:eastAsia="Calibri" w:hAnsi="Times New Roman" w:cs="Times New Roman"/>
          <w:sz w:val="24"/>
          <w:szCs w:val="24"/>
        </w:rPr>
        <w:t>ultralarga</w:t>
      </w:r>
      <w:proofErr w:type="spellEnd"/>
      <w:r w:rsidRPr="009E00F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cio</w:t>
      </w:r>
      <w:r>
        <w:rPr>
          <w:rFonts w:ascii="Times New Roman" w:eastAsia="Calibri" w:hAnsi="Times New Roman" w:cs="Times New Roman"/>
          <w:sz w:val="24"/>
          <w:szCs w:val="24"/>
        </w:rPr>
        <w:t>è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delle linee di accesso in grado di garantire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velocita superiori ai 30 Mbps, emerge un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quad</w:t>
      </w:r>
      <w:r>
        <w:rPr>
          <w:rFonts w:ascii="Times New Roman" w:eastAsia="Calibri" w:hAnsi="Times New Roman" w:cs="Times New Roman"/>
          <w:sz w:val="24"/>
          <w:szCs w:val="24"/>
        </w:rPr>
        <w:t>ro ancora piuttosto disomogeneo</w:t>
      </w:r>
      <w:r w:rsidRPr="009E00F2">
        <w:rPr>
          <w:rFonts w:ascii="Times New Roman" w:eastAsia="Calibri" w:hAnsi="Times New Roman" w:cs="Times New Roman"/>
          <w:sz w:val="24"/>
          <w:szCs w:val="24"/>
        </w:rPr>
        <w:t>; va comunque sottolineato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come le unita immobiliari </w:t>
      </w:r>
      <w:r w:rsidRPr="009E00F2">
        <w:rPr>
          <w:rFonts w:ascii="Times New Roman" w:eastAsia="Calibri" w:hAnsi="Times New Roman" w:cs="Times New Roman" w:hint="eastAsia"/>
          <w:sz w:val="24"/>
          <w:szCs w:val="24"/>
        </w:rPr>
        <w:t>“</w:t>
      </w:r>
      <w:r w:rsidRPr="009E00F2">
        <w:rPr>
          <w:rFonts w:ascii="Times New Roman" w:eastAsia="Calibri" w:hAnsi="Times New Roman" w:cs="Times New Roman"/>
          <w:sz w:val="24"/>
          <w:szCs w:val="24"/>
        </w:rPr>
        <w:t>passate</w:t>
      </w:r>
      <w:r w:rsidRPr="009E00F2">
        <w:rPr>
          <w:rFonts w:ascii="Times New Roman" w:eastAsia="Calibri" w:hAnsi="Times New Roman" w:cs="Times New Roman" w:hint="eastAsia"/>
          <w:sz w:val="24"/>
          <w:szCs w:val="24"/>
        </w:rPr>
        <w:t>”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in rete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primaria nel 2015 abbiano raggiunto il 33% (10,8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milioni di unita </w:t>
      </w:r>
      <w:r w:rsidRPr="009E00F2">
        <w:rPr>
          <w:rFonts w:ascii="Times New Roman" w:eastAsia="Calibri" w:hAnsi="Times New Roman" w:cs="Times New Roman"/>
          <w:sz w:val="24"/>
          <w:szCs w:val="24"/>
        </w:rPr>
        <w:lastRenderedPageBreak/>
        <w:t>passate a fronte di 32,7 milioni di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edifici), un valore in notevole crescita rispetto al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20% stimato nel 2014.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87210" w:rsidRDefault="009E00F2" w:rsidP="009E00F2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0F2">
        <w:rPr>
          <w:rFonts w:ascii="Times New Roman" w:eastAsia="Calibri" w:hAnsi="Times New Roman" w:cs="Times New Roman"/>
          <w:sz w:val="24"/>
          <w:szCs w:val="24"/>
        </w:rPr>
        <w:t>Sulla dinamica della copertura del territorio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hanno influito, in maniera sostanziale, i piani di sostegno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pubblico agli investimenti in infrastrutture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di banda larga ed </w:t>
      </w:r>
      <w:proofErr w:type="spellStart"/>
      <w:r w:rsidRPr="009E00F2">
        <w:rPr>
          <w:rFonts w:ascii="Times New Roman" w:eastAsia="Calibri" w:hAnsi="Times New Roman" w:cs="Times New Roman"/>
          <w:sz w:val="24"/>
          <w:szCs w:val="24"/>
        </w:rPr>
        <w:t>ultralarga</w:t>
      </w:r>
      <w:proofErr w:type="spellEnd"/>
      <w:r w:rsidRPr="009E00F2">
        <w:rPr>
          <w:rFonts w:ascii="Times New Roman" w:eastAsia="Calibri" w:hAnsi="Times New Roman" w:cs="Times New Roman"/>
          <w:sz w:val="24"/>
          <w:szCs w:val="24"/>
        </w:rPr>
        <w:t>; tali piani hanno consentito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agli aggiudicatari delle gare tramite le quali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vengono assegnati i contributi pubblici, di aumentare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la copertura dei servizi di nuova generazione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788">
        <w:rPr>
          <w:rFonts w:ascii="Times New Roman" w:eastAsia="Calibri" w:hAnsi="Times New Roman" w:cs="Times New Roman"/>
          <w:sz w:val="24"/>
          <w:szCs w:val="24"/>
        </w:rPr>
        <w:t>in molte P</w:t>
      </w:r>
      <w:r w:rsidRPr="009E00F2">
        <w:rPr>
          <w:rFonts w:ascii="Times New Roman" w:eastAsia="Calibri" w:hAnsi="Times New Roman" w:cs="Times New Roman"/>
          <w:sz w:val="24"/>
          <w:szCs w:val="24"/>
        </w:rPr>
        <w:t>rovince del Mezzogiorno, soprattutto in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Calabria ove, a livello provinciale, la copertura risulta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superiore al 70% delle unit</w:t>
      </w:r>
      <w:r w:rsidR="00C74788">
        <w:rPr>
          <w:rFonts w:ascii="Times New Roman" w:eastAsia="Calibri" w:hAnsi="Times New Roman" w:cs="Times New Roman"/>
          <w:sz w:val="24"/>
          <w:szCs w:val="24"/>
        </w:rPr>
        <w:t>à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abitative, con un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incremento rispetto all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9E00F2">
        <w:rPr>
          <w:rFonts w:ascii="Times New Roman" w:eastAsia="Calibri" w:hAnsi="Times New Roman" w:cs="Times New Roman"/>
          <w:sz w:val="24"/>
          <w:szCs w:val="24"/>
        </w:rPr>
        <w:t>anno precedente superiore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al 100%. Si rammenta che il ricorso alla finanza pubblica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per gli investimenti infrastrutturali </w:t>
      </w:r>
      <w:r w:rsidR="00C74788">
        <w:rPr>
          <w:rFonts w:ascii="Times New Roman" w:eastAsia="Calibri" w:hAnsi="Times New Roman" w:cs="Times New Roman"/>
          <w:sz w:val="24"/>
          <w:szCs w:val="24"/>
        </w:rPr>
        <w:t>è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giustificato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dalla bassa redditivit</w:t>
      </w:r>
      <w:r>
        <w:rPr>
          <w:rFonts w:ascii="Times New Roman" w:eastAsia="Calibri" w:hAnsi="Times New Roman" w:cs="Times New Roman"/>
          <w:sz w:val="24"/>
          <w:szCs w:val="24"/>
        </w:rPr>
        <w:t>à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degli investimenti nelle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76A1">
        <w:rPr>
          <w:rFonts w:ascii="Times New Roman" w:eastAsia="Calibri" w:hAnsi="Times New Roman" w:cs="Times New Roman"/>
          <w:sz w:val="24"/>
          <w:szCs w:val="24"/>
        </w:rPr>
        <w:t>aree cosiddette a</w:t>
      </w:r>
      <w:r w:rsidR="002471F2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r w:rsidRPr="009E00F2">
        <w:rPr>
          <w:rFonts w:ascii="Times New Roman" w:eastAsia="Calibri" w:hAnsi="Times New Roman" w:cs="Times New Roman"/>
          <w:sz w:val="24"/>
          <w:szCs w:val="24"/>
        </w:rPr>
        <w:t>fallimento di mercato</w:t>
      </w:r>
      <w:r w:rsidR="002471F2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9E00F2">
        <w:rPr>
          <w:rFonts w:ascii="Times New Roman" w:eastAsia="Calibri" w:hAnsi="Times New Roman" w:cs="Times New Roman"/>
          <w:sz w:val="24"/>
          <w:szCs w:val="24"/>
        </w:rPr>
        <w:t>(tipicamente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zone montuose, a bassa densit</w:t>
      </w:r>
      <w:r>
        <w:rPr>
          <w:rFonts w:ascii="Times New Roman" w:eastAsia="Calibri" w:hAnsi="Times New Roman" w:cs="Times New Roman"/>
          <w:sz w:val="24"/>
          <w:szCs w:val="24"/>
        </w:rPr>
        <w:t>à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abitativa), 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>
        <w:rPr>
          <w:rFonts w:ascii="Times New Roman" w:eastAsia="Calibri" w:hAnsi="Times New Roman" w:cs="Times New Roman"/>
          <w:sz w:val="24"/>
          <w:szCs w:val="24"/>
        </w:rPr>
        <w:t xml:space="preserve"> esplicitamente previsto dalla</w:t>
      </w:r>
      <w:r w:rsidRPr="009E00F2">
        <w:rPr>
          <w:rFonts w:ascii="Times New Roman" w:eastAsia="Calibri" w:hAnsi="Times New Roman" w:cs="Times New Roman" w:hint="eastAsia"/>
          <w:sz w:val="24"/>
          <w:szCs w:val="24"/>
        </w:rPr>
        <w:t>“</w:t>
      </w:r>
      <w:r w:rsidRPr="009E00F2">
        <w:rPr>
          <w:rFonts w:ascii="Times New Roman" w:eastAsia="Calibri" w:hAnsi="Times New Roman" w:cs="Times New Roman"/>
          <w:sz w:val="24"/>
          <w:szCs w:val="24"/>
        </w:rPr>
        <w:t>Strategia Italiana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per la banda </w:t>
      </w:r>
      <w:proofErr w:type="spellStart"/>
      <w:r w:rsidRPr="009E00F2">
        <w:rPr>
          <w:rFonts w:ascii="Times New Roman" w:eastAsia="Calibri" w:hAnsi="Times New Roman" w:cs="Times New Roman"/>
          <w:sz w:val="24"/>
          <w:szCs w:val="24"/>
        </w:rPr>
        <w:t>ultralarga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”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approvata dal Governo italiano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in data 3 marzo 2015. Questo spiega perch</w:t>
      </w:r>
      <w:r>
        <w:rPr>
          <w:rFonts w:ascii="Times New Roman" w:eastAsia="Calibri" w:hAnsi="Times New Roman" w:cs="Times New Roman"/>
          <w:sz w:val="24"/>
          <w:szCs w:val="24"/>
        </w:rPr>
        <w:t xml:space="preserve">é </w:t>
      </w:r>
      <w:r w:rsidRPr="009E00F2">
        <w:rPr>
          <w:rFonts w:ascii="Times New Roman" w:eastAsia="Calibri" w:hAnsi="Times New Roman" w:cs="Times New Roman"/>
          <w:sz w:val="24"/>
          <w:szCs w:val="24"/>
        </w:rPr>
        <w:t>gli operatori preferiscono rivolgere i propri investimenti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verso le aree metropolitane e le province pi</w:t>
      </w:r>
      <w:r>
        <w:rPr>
          <w:rFonts w:ascii="Times New Roman" w:eastAsia="Calibri" w:hAnsi="Times New Roman" w:cs="Times New Roman"/>
          <w:sz w:val="24"/>
          <w:szCs w:val="24"/>
        </w:rPr>
        <w:t xml:space="preserve">ù </w:t>
      </w:r>
      <w:r w:rsidRPr="009E00F2">
        <w:rPr>
          <w:rFonts w:ascii="Times New Roman" w:eastAsia="Calibri" w:hAnsi="Times New Roman" w:cs="Times New Roman"/>
          <w:sz w:val="24"/>
          <w:szCs w:val="24"/>
        </w:rPr>
        <w:t>densamen</w:t>
      </w:r>
      <w:r w:rsidR="002471F2">
        <w:rPr>
          <w:rFonts w:ascii="Times New Roman" w:eastAsia="Calibri" w:hAnsi="Times New Roman" w:cs="Times New Roman"/>
          <w:sz w:val="24"/>
          <w:szCs w:val="24"/>
        </w:rPr>
        <w:t>te abitate; nel 2015, nelle 23 P</w:t>
      </w:r>
      <w:r w:rsidRPr="009E00F2">
        <w:rPr>
          <w:rFonts w:ascii="Times New Roman" w:eastAsia="Calibri" w:hAnsi="Times New Roman" w:cs="Times New Roman"/>
          <w:sz w:val="24"/>
          <w:szCs w:val="24"/>
        </w:rPr>
        <w:t>rovince in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cui le unit</w:t>
      </w:r>
      <w:r w:rsidR="002471F2">
        <w:rPr>
          <w:rFonts w:ascii="Times New Roman" w:eastAsia="Calibri" w:hAnsi="Times New Roman" w:cs="Times New Roman"/>
          <w:sz w:val="24"/>
          <w:szCs w:val="24"/>
        </w:rPr>
        <w:t>à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abitative </w:t>
      </w:r>
      <w:r w:rsidR="00FA7C03">
        <w:rPr>
          <w:rFonts w:ascii="Times New Roman" w:eastAsia="Calibri" w:hAnsi="Times New Roman" w:cs="Times New Roman"/>
          <w:sz w:val="24"/>
          <w:szCs w:val="24"/>
        </w:rPr>
        <w:t>“</w:t>
      </w:r>
      <w:r w:rsidRPr="009E00F2">
        <w:rPr>
          <w:rFonts w:ascii="Times New Roman" w:eastAsia="Calibri" w:hAnsi="Times New Roman" w:cs="Times New Roman"/>
          <w:sz w:val="24"/>
          <w:szCs w:val="24"/>
        </w:rPr>
        <w:t>passate</w:t>
      </w:r>
      <w:r w:rsidR="00FA7C03">
        <w:rPr>
          <w:rFonts w:ascii="Times New Roman" w:eastAsia="Calibri" w:hAnsi="Times New Roman" w:cs="Times New Roman"/>
          <w:sz w:val="24"/>
          <w:szCs w:val="24"/>
        </w:rPr>
        <w:t>”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superavano le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100.000 unit</w:t>
      </w:r>
      <w:r w:rsidR="002471F2">
        <w:rPr>
          <w:rFonts w:ascii="Times New Roman" w:eastAsia="Calibri" w:hAnsi="Times New Roman" w:cs="Times New Roman"/>
          <w:sz w:val="24"/>
          <w:szCs w:val="24"/>
        </w:rPr>
        <w:t>à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si concentravano il 68% degli edifici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C03">
        <w:rPr>
          <w:rFonts w:ascii="Times New Roman" w:eastAsia="Calibri" w:hAnsi="Times New Roman" w:cs="Times New Roman"/>
          <w:sz w:val="24"/>
          <w:szCs w:val="24"/>
        </w:rPr>
        <w:t>“</w:t>
      </w:r>
      <w:r w:rsidRPr="009E00F2">
        <w:rPr>
          <w:rFonts w:ascii="Times New Roman" w:eastAsia="Calibri" w:hAnsi="Times New Roman" w:cs="Times New Roman"/>
          <w:sz w:val="24"/>
          <w:szCs w:val="24"/>
        </w:rPr>
        <w:t>passati</w:t>
      </w:r>
      <w:r w:rsidR="00FA7C03">
        <w:rPr>
          <w:rFonts w:ascii="Times New Roman" w:eastAsia="Calibri" w:hAnsi="Times New Roman" w:cs="Times New Roman"/>
          <w:sz w:val="24"/>
          <w:szCs w:val="24"/>
        </w:rPr>
        <w:t>”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ed il 48% della popolazione italiana.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87210" w:rsidRPr="00C87210" w:rsidRDefault="009E00F2" w:rsidP="00C8721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9E00F2">
        <w:rPr>
          <w:rFonts w:ascii="Times New Roman" w:eastAsia="Calibri" w:hAnsi="Times New Roman" w:cs="Times New Roman"/>
          <w:sz w:val="24"/>
          <w:szCs w:val="24"/>
        </w:rPr>
        <w:t>Considerando la spesa complessiva di famiglie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ed imprese in servizi da rete fissa,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nel 2015 la quota di mercato di Telecom Italia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attestata al 57,4%, con una riduzione di 1,1 punti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percentuali rispetto al 2014. Se ne avvantaggiano in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particolare Fastweb (+0,6 punti percentuali) e gli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operatori minori (categoria</w:t>
      </w:r>
      <w:r w:rsidRPr="009E00F2">
        <w:rPr>
          <w:rFonts w:ascii="Times New Roman" w:eastAsia="Calibri" w:hAnsi="Times New Roman" w:cs="Times New Roman" w:hint="eastAsia"/>
          <w:sz w:val="24"/>
          <w:szCs w:val="24"/>
        </w:rPr>
        <w:t>“</w:t>
      </w:r>
      <w:r w:rsidRPr="009E00F2">
        <w:rPr>
          <w:rFonts w:ascii="Times New Roman" w:eastAsia="Calibri" w:hAnsi="Times New Roman" w:cs="Times New Roman"/>
          <w:sz w:val="24"/>
          <w:szCs w:val="24"/>
        </w:rPr>
        <w:t>Altri</w:t>
      </w:r>
      <w:r w:rsidR="00C87210">
        <w:rPr>
          <w:rFonts w:ascii="Times New Roman" w:eastAsia="Calibri" w:hAnsi="Times New Roman" w:cs="Times New Roman"/>
          <w:sz w:val="24"/>
          <w:szCs w:val="24"/>
        </w:rPr>
        <w:t>”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 +0,5 punti percentuali),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con la conseguente riduzione del livello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>di concentrazione nel mercato. Da evidenziare che</w:t>
      </w:r>
      <w:r w:rsidR="00C87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0F2">
        <w:rPr>
          <w:rFonts w:ascii="Times New Roman" w:eastAsia="Calibri" w:hAnsi="Times New Roman" w:cs="Times New Roman"/>
          <w:sz w:val="24"/>
          <w:szCs w:val="24"/>
        </w:rPr>
        <w:t xml:space="preserve">i ricavi ottenuti dagli operatori di accesso </w:t>
      </w:r>
      <w:proofErr w:type="spellStart"/>
      <w:r w:rsidRPr="009E00F2">
        <w:rPr>
          <w:rFonts w:ascii="Times New Roman" w:eastAsia="Calibri" w:hAnsi="Times New Roman" w:cs="Times New Roman"/>
          <w:i/>
          <w:iCs/>
          <w:sz w:val="24"/>
          <w:szCs w:val="24"/>
        </w:rPr>
        <w:t>fixed</w:t>
      </w:r>
      <w:proofErr w:type="spellEnd"/>
      <w:r w:rsidRPr="009E00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wi-</w:t>
      </w:r>
      <w:r w:rsidR="00C87210"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reless</w:t>
      </w:r>
      <w:proofErr w:type="spellEnd"/>
      <w:r w:rsidR="00C87210"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7210" w:rsidRPr="00C87210">
        <w:rPr>
          <w:rFonts w:ascii="Times New Roman" w:eastAsia="Calibri" w:hAnsi="Times New Roman" w:cs="Times New Roman"/>
          <w:iCs/>
          <w:sz w:val="24"/>
          <w:szCs w:val="24"/>
        </w:rPr>
        <w:t>sono cresciuti del 23% durante il 2015 arrivando</w:t>
      </w:r>
      <w:r w:rsidR="00C8721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C87210" w:rsidRPr="00C87210">
        <w:rPr>
          <w:rFonts w:ascii="Times New Roman" w:eastAsia="Calibri" w:hAnsi="Times New Roman" w:cs="Times New Roman"/>
          <w:iCs/>
          <w:sz w:val="24"/>
          <w:szCs w:val="24"/>
        </w:rPr>
        <w:t>a superare i 150 milioni di euro.</w:t>
      </w:r>
    </w:p>
    <w:p w:rsidR="00C87210" w:rsidRPr="00C87210" w:rsidRDefault="00C87210" w:rsidP="00C8721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87210">
        <w:rPr>
          <w:rFonts w:ascii="Times New Roman" w:eastAsia="Calibri" w:hAnsi="Times New Roman" w:cs="Times New Roman"/>
          <w:iCs/>
          <w:sz w:val="24"/>
          <w:szCs w:val="24"/>
        </w:rPr>
        <w:t>Riflessioni analoghe possono essere effettuate riguardo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alla tipologia di utenza;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il segmento residenziale risulta maggiormente concentrato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rispetto a quello affari, con un peso di Telecom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Italia superiore al 62%, anche se in calo,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rispetto al 2014, di 0,4 punti percentuali. Pi</w:t>
      </w:r>
      <w:r>
        <w:rPr>
          <w:rFonts w:ascii="Times New Roman" w:eastAsia="Calibri" w:hAnsi="Times New Roman" w:cs="Times New Roman"/>
          <w:iCs/>
          <w:sz w:val="24"/>
          <w:szCs w:val="24"/>
        </w:rPr>
        <w:t>ù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 lontani,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in termini di quota di mercato, si collocano gli operatori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Wind e Vodafone, entrambi con una quota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dell</w:t>
      </w:r>
      <w:r>
        <w:rPr>
          <w:rFonts w:ascii="Times New Roman" w:eastAsia="Calibri" w:hAnsi="Times New Roman" w:cs="Times New Roman"/>
          <w:iCs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11,9%, ma con il primo che perde 0,4 punti percentuali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ed il secondo che invece la incrementa del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medesimo ammontare. Per quanto riguarda il segmento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affari, nonostante Telecom Italia mantenga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la posizione di </w:t>
      </w:r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market leader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con una quota del 52%,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in calo di 2 punti percentuali rispetto al 2014, la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pressione competitiva esercitata dagli operatori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sembra essere pi</w:t>
      </w:r>
      <w:r>
        <w:rPr>
          <w:rFonts w:ascii="Times New Roman" w:eastAsia="Calibri" w:hAnsi="Times New Roman" w:cs="Times New Roman"/>
          <w:iCs/>
          <w:sz w:val="24"/>
          <w:szCs w:val="24"/>
        </w:rPr>
        <w:t>ù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 intensa, con Fastweb che rafforza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la propria posizione guadagnando 1,3 punti percentuali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rispetto al 2014, arrivando a detenere quasi il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18% del segmento, con BT Italia che si attesta vicino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al 10% (+0,4 punti percentuali sul 2014), in crescita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2471F2">
        <w:rPr>
          <w:rFonts w:ascii="Times New Roman" w:eastAsia="Calibri" w:hAnsi="Times New Roman" w:cs="Times New Roman"/>
          <w:iCs/>
          <w:sz w:val="24"/>
          <w:szCs w:val="24"/>
        </w:rPr>
        <w:t>(+0,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7 punti percentuali) anche molti operatori di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piccola e media dimensione, i quali rivolgono la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propria offerta commerciale principalmente all</w:t>
      </w:r>
      <w:r>
        <w:rPr>
          <w:rFonts w:ascii="Times New Roman" w:eastAsia="Calibri" w:hAnsi="Times New Roman" w:cs="Times New Roman"/>
          <w:iCs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utenza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affari, che nel complesso detengono il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13,4% del segmento (categoria </w:t>
      </w:r>
      <w:r w:rsidR="00FA7C03">
        <w:rPr>
          <w:rFonts w:ascii="Times New Roman" w:eastAsia="Calibri" w:hAnsi="Times New Roman" w:cs="Times New Roman"/>
          <w:iCs/>
          <w:sz w:val="24"/>
          <w:szCs w:val="24"/>
        </w:rPr>
        <w:t>“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Altri</w:t>
      </w:r>
      <w:r>
        <w:rPr>
          <w:rFonts w:ascii="Times New Roman" w:eastAsia="Calibri" w:hAnsi="Times New Roman" w:cs="Times New Roman"/>
          <w:iCs/>
          <w:sz w:val="24"/>
          <w:szCs w:val="24"/>
        </w:rPr>
        <w:t>”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).</w:t>
      </w:r>
    </w:p>
    <w:p w:rsidR="009E00F2" w:rsidRDefault="00C87210" w:rsidP="00C8721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210">
        <w:rPr>
          <w:rFonts w:ascii="Times New Roman" w:eastAsia="Calibri" w:hAnsi="Times New Roman" w:cs="Times New Roman"/>
          <w:iCs/>
          <w:sz w:val="24"/>
          <w:szCs w:val="24"/>
        </w:rPr>
        <w:t>I profondi mutamenti tecnologici che hanno caratterizzato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le telecomunicazioni su rete fissa negli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ultimi anni hanno portato nel 2015 i ricavi dai servizi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 larga banda a superare quelli derivanti dalla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fornitura dei tradizionali servizi voce. I primi, infatti,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con una crescita del 4,2% hanno superato i 4,9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miliardi di euro, un valore che risulta, seppur di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poco, superiore a quello del giro d</w:t>
      </w:r>
      <w:r>
        <w:rPr>
          <w:rFonts w:ascii="Times New Roman" w:eastAsia="Calibri" w:hAnsi="Times New Roman" w:cs="Times New Roman"/>
          <w:iCs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affari dei secondi.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Di conseguenza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la pressione competitiva nella fornitura dei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servizi dati </w:t>
      </w:r>
      <w:r w:rsidR="002471F2">
        <w:rPr>
          <w:rFonts w:ascii="Times New Roman" w:eastAsia="Calibri" w:hAnsi="Times New Roman" w:cs="Times New Roman"/>
          <w:iCs/>
          <w:sz w:val="24"/>
          <w:szCs w:val="24"/>
        </w:rPr>
        <w:t>è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 maggiore rispetto al segmento dei servizi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voce, per cui il peso di Telecom Italia si ferma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nel 2015 a poco meno del 40%, senza apprezzabili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variazioni rispetto all</w:t>
      </w:r>
      <w:r>
        <w:rPr>
          <w:rFonts w:ascii="Times New Roman" w:eastAsia="Calibri" w:hAnsi="Times New Roman" w:cs="Times New Roman"/>
          <w:iCs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anno precedente. Fastweb rafforza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la seconda posizione sfiorando il 27% (+0,6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punti percentuali), mentre si riduce il peso di Wind,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Tiscali e BT Italia; la quota di Vodafone rimane invariata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all</w:t>
      </w:r>
      <w:r>
        <w:rPr>
          <w:rFonts w:ascii="Times New Roman" w:eastAsia="Calibri" w:hAnsi="Times New Roman" w:cs="Times New Roman"/>
          <w:iCs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8,5%, mentre cresce la quota degli operatori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di piccola e media dimensione che confluiscono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 xml:space="preserve">nella categoria </w:t>
      </w:r>
      <w:r w:rsidRPr="00C87210">
        <w:rPr>
          <w:rFonts w:ascii="Times New Roman" w:eastAsia="Calibri" w:hAnsi="Times New Roman" w:cs="Times New Roman" w:hint="eastAsia"/>
          <w:iCs/>
          <w:sz w:val="24"/>
          <w:szCs w:val="24"/>
        </w:rPr>
        <w:t>“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Altri</w:t>
      </w:r>
      <w:r>
        <w:rPr>
          <w:rFonts w:ascii="Times New Roman" w:eastAsia="Calibri" w:hAnsi="Times New Roman" w:cs="Times New Roman"/>
          <w:iCs/>
          <w:sz w:val="24"/>
          <w:szCs w:val="24"/>
        </w:rPr>
        <w:t>”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. Da notare che le prime 4 imprese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(Telecom Italia, Fastweb, Wind e Vodafone)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congiuntamente rappresentano poco meno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dell</w:t>
      </w:r>
      <w:r>
        <w:rPr>
          <w:rFonts w:ascii="Times New Roman" w:eastAsia="Calibri" w:hAnsi="Times New Roman" w:cs="Times New Roman"/>
          <w:iCs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iCs/>
          <w:sz w:val="24"/>
          <w:szCs w:val="24"/>
        </w:rPr>
        <w:t>88% del mercato.</w:t>
      </w:r>
    </w:p>
    <w:p w:rsidR="00730C49" w:rsidRDefault="00730C49" w:rsidP="00D21C55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0BC4" w:rsidRDefault="00020BC4" w:rsidP="00AF618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BC4">
        <w:rPr>
          <w:rFonts w:ascii="Times New Roman" w:eastAsia="Calibri" w:hAnsi="Times New Roman" w:cs="Times New Roman"/>
          <w:i/>
          <w:sz w:val="24"/>
          <w:szCs w:val="24"/>
        </w:rPr>
        <w:t>I mercati di rete mobile</w:t>
      </w:r>
    </w:p>
    <w:p w:rsidR="00C87210" w:rsidRPr="00C87210" w:rsidRDefault="00C87210" w:rsidP="00C8721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210">
        <w:rPr>
          <w:rFonts w:ascii="Times New Roman" w:eastAsia="Calibri" w:hAnsi="Times New Roman" w:cs="Times New Roman"/>
          <w:sz w:val="24"/>
          <w:szCs w:val="24"/>
        </w:rPr>
        <w:t>I mercati dei servizi di comunicazione su rete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mobile negli ultimi anni sono stati caratterizzati da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profondi mutamenti dovuti alla concomitante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azione di pi</w:t>
      </w:r>
      <w:r w:rsidR="00F72C8A">
        <w:rPr>
          <w:rFonts w:ascii="Times New Roman" w:eastAsia="Calibri" w:hAnsi="Times New Roman" w:cs="Times New Roman"/>
          <w:sz w:val="24"/>
          <w:szCs w:val="24"/>
        </w:rPr>
        <w:t>ù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fattori tra i quali: </w:t>
      </w:r>
      <w:r w:rsidR="00F72C8A">
        <w:rPr>
          <w:rFonts w:ascii="Times New Roman" w:eastAsia="Calibri" w:hAnsi="Times New Roman" w:cs="Times New Roman"/>
          <w:sz w:val="24"/>
          <w:szCs w:val="24"/>
        </w:rPr>
        <w:t>l’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azione </w:t>
      </w:r>
      <w:proofErr w:type="spellStart"/>
      <w:r w:rsidRPr="00C87210">
        <w:rPr>
          <w:rFonts w:ascii="Times New Roman" w:eastAsia="Calibri" w:hAnsi="Times New Roman" w:cs="Times New Roman"/>
          <w:sz w:val="24"/>
          <w:szCs w:val="24"/>
        </w:rPr>
        <w:t>regolatoria</w:t>
      </w:r>
      <w:proofErr w:type="spellEnd"/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dell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sz w:val="24"/>
          <w:szCs w:val="24"/>
        </w:rPr>
        <w:t>Autorit</w:t>
      </w:r>
      <w:r w:rsidR="00F72C8A">
        <w:rPr>
          <w:rFonts w:ascii="Times New Roman" w:eastAsia="Calibri" w:hAnsi="Times New Roman" w:cs="Times New Roman"/>
          <w:sz w:val="24"/>
          <w:szCs w:val="24"/>
        </w:rPr>
        <w:t>à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, che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articolata lungo le dimensioni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dell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adeguamento dei </w:t>
      </w:r>
      <w:r w:rsidRPr="00C872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prezzi </w:t>
      </w:r>
      <w:proofErr w:type="spellStart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wholesale</w:t>
      </w:r>
      <w:proofErr w:type="spellEnd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al quadro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normativo comunitario e della tutela dei consumatori;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l</w:t>
      </w:r>
      <w:r w:rsidR="00F72C8A">
        <w:rPr>
          <w:rFonts w:ascii="Times New Roman" w:eastAsia="Calibri" w:hAnsi="Times New Roman" w:cs="Times New Roman"/>
          <w:sz w:val="24"/>
          <w:szCs w:val="24"/>
        </w:rPr>
        <w:t>’i</w:t>
      </w:r>
      <w:r w:rsidRPr="00C87210">
        <w:rPr>
          <w:rFonts w:ascii="Times New Roman" w:eastAsia="Calibri" w:hAnsi="Times New Roman" w:cs="Times New Roman"/>
          <w:sz w:val="24"/>
          <w:szCs w:val="24"/>
        </w:rPr>
        <w:t>ntensificazione della competizione tra gli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operatori sui prezzi a livello </w:t>
      </w:r>
      <w:proofErr w:type="spellStart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retail</w:t>
      </w:r>
      <w:proofErr w:type="spellEnd"/>
      <w:r w:rsidRPr="00C87210">
        <w:rPr>
          <w:rFonts w:ascii="Times New Roman" w:eastAsia="Calibri" w:hAnsi="Times New Roman" w:cs="Times New Roman"/>
          <w:sz w:val="24"/>
          <w:szCs w:val="24"/>
        </w:rPr>
        <w:t>; 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sz w:val="24"/>
          <w:szCs w:val="24"/>
        </w:rPr>
        <w:t>adeguamento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tecnologico delle infrastrutture, tipico dei settori ad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alta tecnologia, che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manifestato attraverso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sz w:val="24"/>
          <w:szCs w:val="24"/>
        </w:rPr>
        <w:t>espansione della copertura e la diffusione delle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tecnologie LTE; il mutamento nello stile di consumo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degli utenti, specie nell</w:t>
      </w:r>
      <w:r w:rsidR="00F72C8A">
        <w:rPr>
          <w:rFonts w:ascii="Times New Roman" w:eastAsia="Calibri" w:hAnsi="Times New Roman" w:cs="Times New Roman"/>
          <w:sz w:val="24"/>
          <w:szCs w:val="24"/>
        </w:rPr>
        <w:t>’uso di applicazioni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”</w:t>
      </w:r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social</w:t>
      </w:r>
      <w:r w:rsidR="00FA7C03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  <w:r w:rsidRPr="00C87210">
        <w:rPr>
          <w:rFonts w:ascii="Times New Roman" w:eastAsia="Calibri" w:hAnsi="Times New Roman" w:cs="Times New Roman"/>
          <w:sz w:val="24"/>
          <w:szCs w:val="24"/>
        </w:rPr>
        <w:t>;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la riduzione della spesa media in servizi mobili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delle famiglie, che non hanno ancora messo alle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spalle la crisi che ha caratterizzato gli anni passati.</w:t>
      </w:r>
    </w:p>
    <w:p w:rsidR="00C87210" w:rsidRPr="00C87210" w:rsidRDefault="00C87210" w:rsidP="00C8721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Tra il 2010 ed il 2015 i ricavi da servizi </w:t>
      </w:r>
      <w:proofErr w:type="spellStart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retail</w:t>
      </w:r>
      <w:proofErr w:type="spellEnd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hanno registrato nel complesso una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riduzione superiore al 20%, che per</w:t>
      </w:r>
      <w:r w:rsidR="002471F2">
        <w:rPr>
          <w:rFonts w:ascii="Times New Roman" w:eastAsia="Calibri" w:hAnsi="Times New Roman" w:cs="Times New Roman"/>
          <w:sz w:val="24"/>
          <w:szCs w:val="24"/>
        </w:rPr>
        <w:t>ò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articolata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in maniera decisamente diseguale fra le varie tipologie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di servizi: i ricavi da servizi voce, infatti, si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sono ridotti del 43%, mentre i ricavi provenienti da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servizi dati sono cresciuti del 13%. Appare opportuno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segnalare come il crescente utilizzo in mobilita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di </w:t>
      </w:r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social network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e di servizi </w:t>
      </w:r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web </w:t>
      </w:r>
      <w:r w:rsidRPr="00C87210">
        <w:rPr>
          <w:rFonts w:ascii="Times New Roman" w:eastAsia="Calibri" w:hAnsi="Times New Roman" w:cs="Times New Roman"/>
          <w:sz w:val="24"/>
          <w:szCs w:val="24"/>
        </w:rPr>
        <w:t>abbia indotto 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Pr="00C87210">
        <w:rPr>
          <w:rFonts w:ascii="Times New Roman" w:eastAsia="Calibri" w:hAnsi="Times New Roman" w:cs="Times New Roman"/>
          <w:sz w:val="24"/>
          <w:szCs w:val="24"/>
        </w:rPr>
        <w:t>utilizzo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di </w:t>
      </w:r>
      <w:proofErr w:type="spellStart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device</w:t>
      </w:r>
      <w:proofErr w:type="spellEnd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sempre pi</w:t>
      </w:r>
      <w:r w:rsidR="00F72C8A">
        <w:rPr>
          <w:rFonts w:ascii="Times New Roman" w:eastAsia="Calibri" w:hAnsi="Times New Roman" w:cs="Times New Roman"/>
          <w:sz w:val="24"/>
          <w:szCs w:val="24"/>
        </w:rPr>
        <w:t>ù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evoluti e, conseguentemente,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una considerevole crescita dei ricavi da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commercializzazione di terminali: si stima che a fine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2015 questa voce di ricavo si sia attestata intorno ad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1,6 miliardi di euro, con una crescita, rispetto al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2010, superiore al 60%.</w:t>
      </w:r>
    </w:p>
    <w:p w:rsidR="00C87210" w:rsidRPr="00C87210" w:rsidRDefault="00C87210" w:rsidP="00C87210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210">
        <w:rPr>
          <w:rFonts w:ascii="Times New Roman" w:eastAsia="Calibri" w:hAnsi="Times New Roman" w:cs="Times New Roman"/>
          <w:sz w:val="24"/>
          <w:szCs w:val="24"/>
        </w:rPr>
        <w:t>Rispetto a quanto rilevato lo scorso anno, la riduzione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dei ricavi complessivi sembra quasi essersi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arrestata dal momento che questi registrano una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flessione di soli 0,6 punti percentuali rispetto al valore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del 2014. La dinamica dei ricavi risulta ancora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fortemente condizionata dalla sensibile riduzione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dei ricavi da servizi voce (</w:t>
      </w:r>
      <w:r w:rsidRPr="00C87210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8%), la quale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per</w:t>
      </w:r>
      <w:r w:rsidR="002471F2">
        <w:rPr>
          <w:rFonts w:ascii="Times New Roman" w:eastAsia="Calibri" w:hAnsi="Times New Roman" w:cs="Times New Roman"/>
          <w:sz w:val="24"/>
          <w:szCs w:val="24"/>
        </w:rPr>
        <w:t>ò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 bilanciata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dalla crescita dei ricavi da fornitura di servizi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dati (+6,2%) e da altri servizi (+5,5%) fra i quali,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come si diceva, prevalentemente la vendita di terminali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e </w:t>
      </w:r>
      <w:proofErr w:type="spellStart"/>
      <w:r w:rsidRPr="00C87210">
        <w:rPr>
          <w:rFonts w:ascii="Times New Roman" w:eastAsia="Calibri" w:hAnsi="Times New Roman" w:cs="Times New Roman"/>
          <w:i/>
          <w:iCs/>
          <w:sz w:val="24"/>
          <w:szCs w:val="24"/>
        </w:rPr>
        <w:t>smartphone</w:t>
      </w:r>
      <w:proofErr w:type="spellEnd"/>
      <w:r w:rsidRPr="00C872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2C8A" w:rsidRPr="00F72C8A" w:rsidRDefault="00C87210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210">
        <w:rPr>
          <w:rFonts w:ascii="Times New Roman" w:eastAsia="Calibri" w:hAnsi="Times New Roman" w:cs="Times New Roman"/>
          <w:sz w:val="24"/>
          <w:szCs w:val="24"/>
        </w:rPr>
        <w:t xml:space="preserve">In termini di volumi, i servizi voce 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7210">
        <w:rPr>
          <w:rFonts w:ascii="Times New Roman" w:eastAsia="Calibri" w:hAnsi="Times New Roman" w:cs="Times New Roman"/>
          <w:sz w:val="24"/>
          <w:szCs w:val="24"/>
        </w:rPr>
        <w:t>nel 2015 hanno registrato una crescita del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2,5%, comunque in riduzione rispetto all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incremento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del 6% registrato nel corso del 2014. Analizzando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con maggior dettaglio questi valori, si evince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che a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crescere sono le sole chiamate</w:t>
      </w:r>
      <w:r w:rsidR="00FA7C03">
        <w:rPr>
          <w:rFonts w:ascii="Times New Roman" w:eastAsia="Calibri" w:hAnsi="Times New Roman" w:cs="Times New Roman"/>
          <w:sz w:val="24"/>
          <w:szCs w:val="24"/>
        </w:rPr>
        <w:t xml:space="preserve"> ”</w:t>
      </w:r>
      <w:r w:rsidR="00FA7C0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off net”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(+15,9%); come gi</w:t>
      </w:r>
      <w:r w:rsidR="00F72C8A">
        <w:rPr>
          <w:rFonts w:ascii="Times New Roman" w:eastAsia="Calibri" w:hAnsi="Times New Roman" w:cs="Times New Roman"/>
          <w:sz w:val="24"/>
          <w:szCs w:val="24"/>
        </w:rPr>
        <w:t>à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 xml:space="preserve"> segnalato nella scorsa Relazione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annuale, si tratta di un fenomeno legato alla riduzione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dei prezzi di terminazione imposta dall</w:t>
      </w:r>
      <w:r w:rsidR="00F72C8A">
        <w:rPr>
          <w:rFonts w:ascii="Times New Roman" w:eastAsia="Calibri" w:hAnsi="Times New Roman" w:cs="Times New Roman"/>
          <w:sz w:val="24"/>
          <w:szCs w:val="24"/>
        </w:rPr>
        <w:t>’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Autorit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à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che ha reso inefficaci le strategie di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fidelizzazione della clientela tipicamente praticate</w:t>
      </w:r>
      <w:r w:rsidR="00F72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72C8A" w:rsidRPr="00F72C8A">
        <w:rPr>
          <w:rFonts w:ascii="Times New Roman" w:eastAsia="Calibri" w:hAnsi="Times New Roman" w:cs="Times New Roman"/>
          <w:sz w:val="24"/>
          <w:szCs w:val="24"/>
        </w:rPr>
        <w:t>dagli operatori negli anni passati.</w:t>
      </w:r>
    </w:p>
    <w:p w:rsidR="00F72C8A" w:rsidRPr="00F72C8A" w:rsidRDefault="00F72C8A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8A">
        <w:rPr>
          <w:rFonts w:ascii="Times New Roman" w:eastAsia="Calibri" w:hAnsi="Times New Roman" w:cs="Times New Roman"/>
          <w:sz w:val="24"/>
          <w:szCs w:val="24"/>
        </w:rPr>
        <w:t>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F72C8A">
        <w:rPr>
          <w:rFonts w:ascii="Times New Roman" w:eastAsia="Calibri" w:hAnsi="Times New Roman" w:cs="Times New Roman"/>
          <w:sz w:val="24"/>
          <w:szCs w:val="24"/>
        </w:rPr>
        <w:t>invio di SMS ha seguito dinamiche analoghe;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fronte di una flessione media dei volumi del 28,5% </w:t>
      </w:r>
      <w:r w:rsidRPr="00F72C8A">
        <w:rPr>
          <w:rFonts w:ascii="Times New Roman" w:eastAsia="Calibri" w:hAnsi="Times New Roman" w:cs="Times New Roman" w:hint="eastAsia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dovuta principalmente alla crescente diffusione dei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servizi </w:t>
      </w:r>
      <w:r>
        <w:rPr>
          <w:rFonts w:ascii="Times New Roman" w:eastAsia="Calibri" w:hAnsi="Times New Roman" w:cs="Times New Roman"/>
          <w:sz w:val="24"/>
          <w:szCs w:val="24"/>
        </w:rPr>
        <w:t>di comunicazione mobile di tipo</w:t>
      </w:r>
      <w:r w:rsidR="001776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A7C03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>social</w:t>
      </w:r>
      <w:r w:rsidR="00FA7C03">
        <w:rPr>
          <w:rFonts w:ascii="Times New Roman" w:eastAsia="Calibri" w:hAnsi="Times New Roman" w:cs="Times New Roman"/>
          <w:i/>
          <w:iCs/>
          <w:sz w:val="24"/>
          <w:szCs w:val="24"/>
        </w:rPr>
        <w:t>”</w:t>
      </w:r>
      <w:r w:rsidRPr="00F72C8A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direttrice </w:t>
      </w:r>
      <w:r w:rsidR="001776A1">
        <w:rPr>
          <w:rFonts w:ascii="Times New Roman" w:eastAsia="Calibri" w:hAnsi="Times New Roman" w:cs="Times New Roman"/>
          <w:sz w:val="24"/>
          <w:szCs w:val="24"/>
        </w:rPr>
        <w:t>“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>on net</w:t>
      </w:r>
      <w:r w:rsidR="001776A1">
        <w:rPr>
          <w:rFonts w:ascii="Times New Roman" w:eastAsia="Calibri" w:hAnsi="Times New Roman" w:cs="Times New Roman"/>
          <w:sz w:val="24"/>
          <w:szCs w:val="24"/>
        </w:rPr>
        <w:t>”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si riduce di circa il 40%, quella </w:t>
      </w:r>
      <w:r w:rsidR="001776A1">
        <w:rPr>
          <w:rFonts w:ascii="Times New Roman" w:eastAsia="Calibri" w:hAnsi="Times New Roman" w:cs="Times New Roman"/>
          <w:sz w:val="24"/>
          <w:szCs w:val="24"/>
        </w:rPr>
        <w:t>“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>off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>net</w:t>
      </w:r>
      <w:r w:rsidR="001776A1">
        <w:rPr>
          <w:rFonts w:ascii="Times New Roman" w:eastAsia="Calibri" w:hAnsi="Times New Roman" w:cs="Times New Roman"/>
          <w:sz w:val="24"/>
          <w:szCs w:val="24"/>
        </w:rPr>
        <w:t>”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mostra una riduzione di poco inferiore al 9%.</w:t>
      </w:r>
    </w:p>
    <w:p w:rsidR="00C87210" w:rsidRDefault="00F72C8A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Relativamente ai ricavi da servizi voce, perdura il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trend </w:t>
      </w:r>
      <w:r w:rsidRPr="00F72C8A">
        <w:rPr>
          <w:rFonts w:ascii="Times New Roman" w:eastAsia="Calibri" w:hAnsi="Times New Roman" w:cs="Times New Roman"/>
          <w:sz w:val="24"/>
          <w:szCs w:val="24"/>
        </w:rPr>
        <w:t>di flessione per tutte 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direttrici considerate; la riduzione pi</w:t>
      </w:r>
      <w:r>
        <w:rPr>
          <w:rFonts w:ascii="Times New Roman" w:eastAsia="Calibri" w:hAnsi="Times New Roman" w:cs="Times New Roman"/>
          <w:sz w:val="24"/>
          <w:szCs w:val="24"/>
        </w:rPr>
        <w:t>ù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ampia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avuta per i servizi offerti su rete internazionale,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mentre gli introiti da chiamate verso reti mobili nazionali,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che rappresentano oltre il 70% dei ricavi del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segmento in esame (direttrici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on net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>off net</w:t>
      </w:r>
      <w:r w:rsidRPr="00F72C8A">
        <w:rPr>
          <w:rFonts w:ascii="Times New Roman" w:eastAsia="Calibri" w:hAnsi="Times New Roman" w:cs="Times New Roman"/>
          <w:sz w:val="24"/>
          <w:szCs w:val="24"/>
        </w:rPr>
        <w:t>), si riducono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del 7,9%.</w:t>
      </w:r>
    </w:p>
    <w:p w:rsidR="00F72C8A" w:rsidRPr="00F72C8A" w:rsidRDefault="00F72C8A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8A">
        <w:rPr>
          <w:rFonts w:ascii="Times New Roman" w:eastAsia="Calibri" w:hAnsi="Times New Roman" w:cs="Times New Roman"/>
          <w:sz w:val="24"/>
          <w:szCs w:val="24"/>
        </w:rPr>
        <w:t>Nel 2015, con riferimento ai servizi dati offerti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dagli operatori mobili, i volumi di traffico sono stati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pari a circa 730 </w:t>
      </w:r>
      <w:proofErr w:type="spellStart"/>
      <w:r w:rsidRPr="00F72C8A">
        <w:rPr>
          <w:rFonts w:ascii="Times New Roman" w:eastAsia="Calibri" w:hAnsi="Times New Roman" w:cs="Times New Roman"/>
          <w:sz w:val="24"/>
          <w:szCs w:val="24"/>
        </w:rPr>
        <w:t>Petabyte</w:t>
      </w:r>
      <w:proofErr w:type="spellEnd"/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(+45% rispetto al 2014). 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diffusione dei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social network </w:t>
      </w:r>
      <w:r w:rsidRPr="00F72C8A">
        <w:rPr>
          <w:rFonts w:ascii="Times New Roman" w:eastAsia="Calibri" w:hAnsi="Times New Roman" w:cs="Times New Roman"/>
          <w:sz w:val="24"/>
          <w:szCs w:val="24"/>
        </w:rPr>
        <w:t>e dei servizi disponibili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sul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web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determinano il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trend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di crescita del </w:t>
      </w:r>
      <w:proofErr w:type="spellStart"/>
      <w:r w:rsidRPr="00F72C8A">
        <w:rPr>
          <w:rFonts w:ascii="Times New Roman" w:eastAsia="Calibri" w:hAnsi="Times New Roman" w:cs="Times New Roman"/>
          <w:sz w:val="24"/>
          <w:szCs w:val="24"/>
        </w:rPr>
        <w:t>trafficodati</w:t>
      </w:r>
      <w:proofErr w:type="spellEnd"/>
      <w:r w:rsidRPr="00F72C8A">
        <w:rPr>
          <w:rFonts w:ascii="Times New Roman" w:eastAsia="Calibri" w:hAnsi="Times New Roman" w:cs="Times New Roman"/>
          <w:sz w:val="24"/>
          <w:szCs w:val="24"/>
        </w:rPr>
        <w:t>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nel 2015 il consumo medio mensile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stato pari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a 1,3 Gigabyte, valore pi</w:t>
      </w:r>
      <w:r>
        <w:rPr>
          <w:rFonts w:ascii="Times New Roman" w:eastAsia="Calibri" w:hAnsi="Times New Roman" w:cs="Times New Roman"/>
          <w:sz w:val="24"/>
          <w:szCs w:val="24"/>
        </w:rPr>
        <w:t>ù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che doppio rispetto ai livelli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del 2010, con una crescita su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base annua non lontana dal 25% e per il periodo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2010 </w:t>
      </w:r>
      <w:r w:rsidRPr="00F72C8A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2015 di quasi il 117%.</w:t>
      </w:r>
    </w:p>
    <w:p w:rsidR="00F72C8A" w:rsidRPr="00F72C8A" w:rsidRDefault="00F72C8A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8A">
        <w:rPr>
          <w:rFonts w:ascii="Times New Roman" w:eastAsia="Calibri" w:hAnsi="Times New Roman" w:cs="Times New Roman"/>
          <w:sz w:val="24"/>
          <w:szCs w:val="24"/>
        </w:rPr>
        <w:t>Il numero di SIM con le quali gli utenti hanno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navigato in rete ha, lo scorso anno, superato quello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delle SIM che sono state utilizzate esclusivamente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per i servizi voce; in parte questa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dinamica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il risultato del processo di sostituzione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fra servizi di messaggistica tradizionale e servizi di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messaggistica </w:t>
      </w:r>
      <w:r w:rsidRPr="00F72C8A">
        <w:rPr>
          <w:rFonts w:ascii="Times New Roman" w:eastAsia="Calibri" w:hAnsi="Times New Roman" w:cs="Times New Roman"/>
          <w:i/>
          <w:iCs/>
          <w:sz w:val="24"/>
          <w:szCs w:val="24"/>
        </w:rPr>
        <w:t>online</w:t>
      </w:r>
      <w:r w:rsidRPr="00F72C8A">
        <w:rPr>
          <w:rFonts w:ascii="Times New Roman" w:eastAsia="Calibri" w:hAnsi="Times New Roman" w:cs="Times New Roman"/>
          <w:sz w:val="24"/>
          <w:szCs w:val="24"/>
        </w:rPr>
        <w:t>, indotto anche dalla capacita di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questi ultimi di arricchire la comunicazione tra gli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utenti con la condivisione istantanea, oltre che del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testo, anche di suoni e immagini.</w:t>
      </w:r>
    </w:p>
    <w:p w:rsidR="00497338" w:rsidRPr="00497338" w:rsidRDefault="00F72C8A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C8A">
        <w:rPr>
          <w:rFonts w:ascii="Times New Roman" w:eastAsia="Calibri" w:hAnsi="Times New Roman" w:cs="Times New Roman"/>
          <w:sz w:val="24"/>
          <w:szCs w:val="24"/>
        </w:rPr>
        <w:t>Per quanto riguarda i ricavi da servizi dati, questi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mostrano una dinamica disomogenea tra i vari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72C8A">
        <w:rPr>
          <w:rFonts w:ascii="Times New Roman" w:eastAsia="Calibri" w:hAnsi="Times New Roman" w:cs="Times New Roman"/>
          <w:sz w:val="24"/>
          <w:szCs w:val="24"/>
        </w:rPr>
        <w:t>segmenti in conseguenza delle gi</w:t>
      </w:r>
      <w:r w:rsidR="00497338">
        <w:rPr>
          <w:rFonts w:ascii="Times New Roman" w:eastAsia="Calibri" w:hAnsi="Times New Roman" w:cs="Times New Roman"/>
          <w:sz w:val="24"/>
          <w:szCs w:val="24"/>
        </w:rPr>
        <w:t>à</w:t>
      </w:r>
      <w:r w:rsidRPr="00F72C8A">
        <w:rPr>
          <w:rFonts w:ascii="Times New Roman" w:eastAsia="Calibri" w:hAnsi="Times New Roman" w:cs="Times New Roman"/>
          <w:sz w:val="24"/>
          <w:szCs w:val="24"/>
        </w:rPr>
        <w:t xml:space="preserve"> citate </w:t>
      </w:r>
      <w:r w:rsidR="00497338">
        <w:rPr>
          <w:rFonts w:ascii="Times New Roman" w:eastAsia="Calibri" w:hAnsi="Times New Roman" w:cs="Times New Roman"/>
          <w:sz w:val="24"/>
          <w:szCs w:val="24"/>
        </w:rPr>
        <w:t>“</w:t>
      </w:r>
      <w:r w:rsidRPr="00F72C8A">
        <w:rPr>
          <w:rFonts w:ascii="Times New Roman" w:eastAsia="Calibri" w:hAnsi="Times New Roman" w:cs="Times New Roman"/>
          <w:sz w:val="24"/>
          <w:szCs w:val="24"/>
        </w:rPr>
        <w:t>nuove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” </w:t>
      </w:r>
      <w:r w:rsidRPr="00F72C8A">
        <w:rPr>
          <w:rFonts w:ascii="Times New Roman" w:eastAsia="Calibri" w:hAnsi="Times New Roman" w:cs="Times New Roman"/>
          <w:sz w:val="24"/>
          <w:szCs w:val="24"/>
        </w:rPr>
        <w:t>attitudini degli utenti: da una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parte si registra una ulteriore e significativa flessione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degli introiti da SMS (</w:t>
      </w:r>
      <w:r w:rsidR="00497338" w:rsidRPr="00497338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18,7%), che si riducono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a meno di un miliardo di euro, dall</w:t>
      </w:r>
      <w:r w:rsidR="00497338">
        <w:rPr>
          <w:rFonts w:ascii="Times New Roman" w:eastAsia="Calibri" w:hAnsi="Times New Roman" w:cs="Times New Roman"/>
          <w:sz w:val="24"/>
          <w:szCs w:val="24"/>
        </w:rPr>
        <w:t>’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altra, i servizi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di accesso e navigazione in Internet continuano a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crescere sensibilmente (+14,4%).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Mentre nel 2005 gli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introiti da SMS erano circa il triplo di quelli da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altri servizi dati, nel 2010 i ricavi delle due tipologie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 xml:space="preserve">di servizi si sono eguagliati (intorno ai 2,3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lastRenderedPageBreak/>
        <w:t>miliardi).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Da allora i ricavi da altri servizi dati sono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cresciuti quasi del doppio, arrivando a rappresentare,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nel 2015, pi</w:t>
      </w:r>
      <w:r w:rsidR="00497338">
        <w:rPr>
          <w:rFonts w:ascii="Times New Roman" w:eastAsia="Calibri" w:hAnsi="Times New Roman" w:cs="Times New Roman"/>
          <w:sz w:val="24"/>
          <w:szCs w:val="24"/>
        </w:rPr>
        <w:t>ù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 xml:space="preserve"> del quadruplo dei ricavi da servizi</w:t>
      </w:r>
      <w:r w:rsidR="00497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7338" w:rsidRPr="00497338">
        <w:rPr>
          <w:rFonts w:ascii="Times New Roman" w:eastAsia="Calibri" w:hAnsi="Times New Roman" w:cs="Times New Roman"/>
          <w:sz w:val="24"/>
          <w:szCs w:val="24"/>
        </w:rPr>
        <w:t>tradizionali.</w:t>
      </w:r>
    </w:p>
    <w:p w:rsidR="00497338" w:rsidRP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In relazione alla redditivit</w:t>
      </w:r>
      <w:r>
        <w:rPr>
          <w:rFonts w:ascii="Times New Roman" w:eastAsia="Calibri" w:hAnsi="Times New Roman" w:cs="Times New Roman"/>
          <w:sz w:val="24"/>
          <w:szCs w:val="24"/>
        </w:rPr>
        <w:t>à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delle SIM, i ricavi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unitari fanno registrare un leggero incremento (da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143 a 145 euro/anno) rispetto all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anno precedente;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tuttavia,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opportuno osservare che tale risultato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non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dovuto all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aumento complessivo dei ricavi,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che invece, come mostrato in precedenza, si sono ridotti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dello 0,6%, ma dipende dalla riduzione del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2,3% della </w:t>
      </w:r>
      <w:proofErr w:type="spellStart"/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>customer</w:t>
      </w:r>
      <w:proofErr w:type="spellEnd"/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base</w:t>
      </w:r>
      <w:r w:rsidRPr="00497338">
        <w:rPr>
          <w:rFonts w:ascii="Times New Roman" w:eastAsia="Calibri" w:hAnsi="Times New Roman" w:cs="Times New Roman"/>
          <w:sz w:val="24"/>
          <w:szCs w:val="24"/>
        </w:rPr>
        <w:t>, come misurata dal numero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di SIM che nel 2015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passato da 95,5 a 93,3 milioni.</w:t>
      </w:r>
    </w:p>
    <w:p w:rsidR="00F72C8A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Guardando alla composizione della spesa per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utente, che come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detto si riduce marginalmente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attestandosi a 265 euro/anno nel 2015, si pu</w:t>
      </w:r>
      <w:r>
        <w:rPr>
          <w:rFonts w:ascii="Times New Roman" w:eastAsia="Calibri" w:hAnsi="Times New Roman" w:cs="Times New Roman"/>
          <w:sz w:val="24"/>
          <w:szCs w:val="24"/>
        </w:rPr>
        <w:t>ò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osservare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che la spesa per i servizi voce si riduce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dell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8,3% raggiungendo i 111 euro/anno, mentre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aumenta dell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ordine del 5-6% la spesa per servizi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dati (che sfiorano i 100 euro/anno) e del 3,8% 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spesa per terminali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7338" w:rsidRP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In particolare, i ricavi unitari registrano una flessione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sia per i servizi voce (</w:t>
      </w:r>
      <w:r w:rsidRPr="00497338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497338">
        <w:rPr>
          <w:rFonts w:ascii="Times New Roman" w:eastAsia="Calibri" w:hAnsi="Times New Roman" w:cs="Times New Roman"/>
          <w:sz w:val="24"/>
          <w:szCs w:val="24"/>
        </w:rPr>
        <w:t>10,4%), sia per i servizi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dati (</w:t>
      </w:r>
      <w:r w:rsidRPr="00497338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497338">
        <w:rPr>
          <w:rFonts w:ascii="Times New Roman" w:eastAsia="Calibri" w:hAnsi="Times New Roman" w:cs="Times New Roman"/>
          <w:sz w:val="24"/>
          <w:szCs w:val="24"/>
        </w:rPr>
        <w:t>21,5%). Con riferimento agli introiti unitari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degli SMS si osserva invece una crescita non marginale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(+13,2%). Tale risultato, in linea con quanto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osservato l</w:t>
      </w:r>
      <w:r w:rsidR="002471F2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anno precedente, sembra confermare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una strategia delle imprese volta ad arginare 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strutturale compressione dei volumi afferenti ad un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servizio </w:t>
      </w:r>
      <w:r w:rsidR="001776A1">
        <w:rPr>
          <w:rFonts w:ascii="Times New Roman" w:eastAsia="Calibri" w:hAnsi="Times New Roman" w:cs="Times New Roman"/>
          <w:sz w:val="24"/>
          <w:szCs w:val="24"/>
        </w:rPr>
        <w:t>“</w:t>
      </w:r>
      <w:r w:rsidRPr="00497338">
        <w:rPr>
          <w:rFonts w:ascii="Times New Roman" w:eastAsia="Calibri" w:hAnsi="Times New Roman" w:cs="Times New Roman"/>
          <w:sz w:val="24"/>
          <w:szCs w:val="24"/>
        </w:rPr>
        <w:t>tradizionale</w:t>
      </w:r>
      <w:r w:rsidR="001776A1">
        <w:rPr>
          <w:rFonts w:ascii="Times New Roman" w:eastAsia="Calibri" w:hAnsi="Times New Roman" w:cs="Times New Roman"/>
          <w:sz w:val="24"/>
          <w:szCs w:val="24"/>
        </w:rPr>
        <w:t>”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derivante dalla diffusione di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servizi di messaggistica </w:t>
      </w:r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online </w:t>
      </w:r>
      <w:r w:rsidRPr="00497338">
        <w:rPr>
          <w:rFonts w:ascii="Times New Roman" w:eastAsia="Calibri" w:hAnsi="Times New Roman" w:cs="Times New Roman"/>
          <w:sz w:val="24"/>
          <w:szCs w:val="24"/>
        </w:rPr>
        <w:t>e che viene utilizzato,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prevalentemente, da una clientela caratterizzata da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bassi volumi di consumo, poco incline 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adozione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nuovi servizi e pertanto scarsamente sensibile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alle variazioni di prezzo unitario, poco percepibili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in termini di costo complessivo del servizio.</w:t>
      </w:r>
    </w:p>
    <w:p w:rsidR="00497338" w:rsidRP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In relazione al livello di contendibilit</w:t>
      </w:r>
      <w:r w:rsidR="00910AD4">
        <w:rPr>
          <w:rFonts w:ascii="Times New Roman" w:eastAsia="Calibri" w:hAnsi="Times New Roman" w:cs="Times New Roman"/>
          <w:sz w:val="24"/>
          <w:szCs w:val="24"/>
        </w:rPr>
        <w:t>à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dei mercati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telecomunicazione mobile, il quadro competitivo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nel 2015 mostra una leggera flessione di Telecom Italia,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che si conferma comunque quale </w:t>
      </w:r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>market leader</w:t>
      </w:r>
      <w:r w:rsid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(32,2%), e di Vodafone (31%); risulta in aumento la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quota di mercato di H3G (+0,6%) e, in misura minore,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quella di Wind e degli MVNO. In conseguenza di queste dinamiche, la concentrazione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settoriale si riduce rispetto al 2014.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97338" w:rsidRP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Se ci si sofferma sulla distribuzione delle quote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mercato per categorie di utenza, si osservano livelli di concentrazione differenti.</w:t>
      </w:r>
    </w:p>
    <w:p w:rsidR="00497338" w:rsidRP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Nel segmento residenziale, pur restando </w:t>
      </w:r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>market</w:t>
      </w:r>
      <w:r w:rsid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>leader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solo 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operatore Vodafone a segnare una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riduzione, pari a 1,1 punti percentuali, nella quota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mercato. Nel segmento della clientela affari, sono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soprattutto Wind (+0,9 punti percentuali) e H3G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(+0,7 punti percentuali) a trarre vantaggio dall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arretramento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dei due principali operatori, in particolare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Telecom Italia (</w:t>
      </w:r>
      <w:r w:rsidRPr="00497338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497338">
        <w:rPr>
          <w:rFonts w:ascii="Times New Roman" w:eastAsia="Calibri" w:hAnsi="Times New Roman" w:cs="Times New Roman"/>
          <w:sz w:val="24"/>
          <w:szCs w:val="24"/>
        </w:rPr>
        <w:t>1,5 punti percentuali) la cui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quota di mercato scende al di sotto del 50%.</w:t>
      </w:r>
    </w:p>
    <w:p w:rsid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Con riferimento alla distribuzione delle quote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mercato tra gli operatori MNO e MVNO, nel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2015, non si registrano dinamiche particolarmente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rilevanti rispetto alla cornice osservata lo scorso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anno</w:t>
      </w:r>
      <w:r w:rsidR="00910AD4">
        <w:rPr>
          <w:rFonts w:ascii="Times New Roman" w:eastAsia="Calibri" w:hAnsi="Times New Roman" w:cs="Times New Roman"/>
          <w:sz w:val="24"/>
          <w:szCs w:val="24"/>
        </w:rPr>
        <w:t>.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Tra gli operatori </w:t>
      </w:r>
      <w:proofErr w:type="spellStart"/>
      <w:r w:rsidRPr="00497338">
        <w:rPr>
          <w:rFonts w:ascii="Times New Roman" w:eastAsia="Calibri" w:hAnsi="Times New Roman" w:cs="Times New Roman"/>
          <w:sz w:val="24"/>
          <w:szCs w:val="24"/>
        </w:rPr>
        <w:t>infrastrutturati</w:t>
      </w:r>
      <w:proofErr w:type="spellEnd"/>
      <w:r w:rsidRPr="00497338">
        <w:rPr>
          <w:rFonts w:ascii="Times New Roman" w:eastAsia="Calibri" w:hAnsi="Times New Roman" w:cs="Times New Roman"/>
          <w:sz w:val="24"/>
          <w:szCs w:val="24"/>
        </w:rPr>
        <w:t>,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i cosiddetti MNO, Telecom Italia si conferma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quale </w:t>
      </w:r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market leader </w:t>
      </w:r>
      <w:r w:rsidRPr="00497338">
        <w:rPr>
          <w:rFonts w:ascii="Times New Roman" w:eastAsia="Calibri" w:hAnsi="Times New Roman" w:cs="Times New Roman"/>
          <w:sz w:val="24"/>
          <w:szCs w:val="24"/>
        </w:rPr>
        <w:t>con il 33,6%, mentre della leggera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flessione di Vodafone (</w:t>
      </w:r>
      <w:r w:rsidRPr="00497338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Pr="00497338">
        <w:rPr>
          <w:rFonts w:ascii="Times New Roman" w:eastAsia="Calibri" w:hAnsi="Times New Roman" w:cs="Times New Roman"/>
          <w:sz w:val="24"/>
          <w:szCs w:val="24"/>
        </w:rPr>
        <w:t>0,8%) se ne avvantaggia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in particolare H3G (+0,7%). Guardando agli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operatori mobili virtuali, i cosiddetti MVNO, si registra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nel complesso una crescita del fatturato del</w:t>
      </w:r>
      <w:r w:rsidRPr="00497338"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5,7% che si attesta su di un giro di affari pari 554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milioni di euro. Poste Mobile continua a rappresentare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poco meno della metà del segmento in esame,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mentre crescono Fastweb (+1,1%), con un business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model basato sull’integrazione con l’offerta di servizi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di rete fissa, e </w:t>
      </w:r>
      <w:proofErr w:type="spellStart"/>
      <w:r w:rsidRPr="00497338">
        <w:rPr>
          <w:rFonts w:ascii="Times New Roman" w:eastAsia="Calibri" w:hAnsi="Times New Roman" w:cs="Times New Roman"/>
          <w:sz w:val="24"/>
          <w:szCs w:val="24"/>
        </w:rPr>
        <w:t>Lycamobile</w:t>
      </w:r>
      <w:proofErr w:type="spellEnd"/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(+1,2%) che adotta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un modello di business basato sui servizi offerti ai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residenti non italiani.</w:t>
      </w:r>
    </w:p>
    <w:p w:rsidR="00497338" w:rsidRPr="00497338" w:rsidRDefault="00497338" w:rsidP="0049733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Con specifico riferimento alle quote di mercato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nei servizi </w:t>
      </w:r>
      <w:r w:rsidR="00FA7C03">
        <w:rPr>
          <w:rFonts w:ascii="Times New Roman" w:eastAsia="Calibri" w:hAnsi="Times New Roman" w:cs="Times New Roman"/>
          <w:sz w:val="24"/>
          <w:szCs w:val="24"/>
        </w:rPr>
        <w:t>“</w:t>
      </w:r>
      <w:r w:rsidRPr="00497338">
        <w:rPr>
          <w:rFonts w:ascii="Times New Roman" w:eastAsia="Calibri" w:hAnsi="Times New Roman" w:cs="Times New Roman"/>
          <w:i/>
          <w:iCs/>
          <w:sz w:val="24"/>
          <w:szCs w:val="24"/>
        </w:rPr>
        <w:t>core</w:t>
      </w:r>
      <w:r w:rsidR="00FA7C03">
        <w:rPr>
          <w:rFonts w:ascii="Times New Roman" w:eastAsia="Calibri" w:hAnsi="Times New Roman" w:cs="Times New Roman"/>
          <w:sz w:val="24"/>
          <w:szCs w:val="24"/>
        </w:rPr>
        <w:t>”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 della telefonia mobile, rappresentati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dai servizi voce e da quelli dati, il 2015 ha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registrato dinamiche competitive decisamente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meno accentuate rispetto a quanto osservato in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passato. Nel dettaglio, Vodafone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rafforza il proprio primato nel segmento dei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servizi voce, mentre Telecom Italia registra un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analogo risultato nel segmento dati. La quota di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H3G cresce in entrambi i comparti, mentre la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quota di Wind subisce una leggera erosione in entrambi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i segmenti.</w:t>
      </w:r>
    </w:p>
    <w:p w:rsidR="00910AD4" w:rsidRPr="00910AD4" w:rsidRDefault="00497338" w:rsidP="00910AD4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338">
        <w:rPr>
          <w:rFonts w:ascii="Times New Roman" w:eastAsia="Calibri" w:hAnsi="Times New Roman" w:cs="Times New Roman"/>
          <w:sz w:val="24"/>
          <w:szCs w:val="24"/>
        </w:rPr>
        <w:t>Accanto alla rappresentazione delle dinamiche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di dettaglio, per le quali si rimanda 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Osservatorio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sulle Comunicazioni dell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Autorit</w:t>
      </w:r>
      <w:r w:rsidR="00910AD4">
        <w:rPr>
          <w:rFonts w:ascii="Times New Roman" w:eastAsia="Calibri" w:hAnsi="Times New Roman" w:cs="Times New Roman"/>
          <w:sz w:val="24"/>
          <w:szCs w:val="24"/>
        </w:rPr>
        <w:t>à</w:t>
      </w:r>
      <w:r w:rsidRPr="00497338">
        <w:rPr>
          <w:rFonts w:ascii="Times New Roman" w:eastAsia="Calibri" w:hAnsi="Times New Roman" w:cs="Times New Roman"/>
          <w:sz w:val="24"/>
          <w:szCs w:val="24"/>
        </w:rPr>
        <w:t>, un indicatore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utile per la valutazione delle dinamiche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 xml:space="preserve">competitive del mercato della telefonia mobile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97338">
        <w:rPr>
          <w:rFonts w:ascii="Times New Roman" w:eastAsia="Calibri" w:hAnsi="Times New Roman" w:cs="Times New Roman"/>
          <w:sz w:val="24"/>
          <w:szCs w:val="24"/>
        </w:rPr>
        <w:t>rappresentato dall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Pr="00497338">
        <w:rPr>
          <w:rFonts w:ascii="Times New Roman" w:eastAsia="Calibri" w:hAnsi="Times New Roman" w:cs="Times New Roman"/>
          <w:sz w:val="24"/>
          <w:szCs w:val="24"/>
        </w:rPr>
        <w:t>andamento delle linee acquisite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e dismesse e dall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utilizzo, da parte degli utenti, del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servizio di </w:t>
      </w:r>
      <w:r w:rsidR="00910AD4"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mobile </w:t>
      </w:r>
      <w:proofErr w:type="spellStart"/>
      <w:r w:rsidR="00910AD4"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number</w:t>
      </w:r>
      <w:proofErr w:type="spellEnd"/>
      <w:r w:rsidR="00910AD4"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910AD4"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lastRenderedPageBreak/>
        <w:t>portability</w:t>
      </w:r>
      <w:proofErr w:type="spellEnd"/>
      <w:r w:rsidR="00910AD4" w:rsidRPr="00910AD4">
        <w:rPr>
          <w:rFonts w:ascii="Times New Roman" w:eastAsia="Calibri" w:hAnsi="Times New Roman" w:cs="Times New Roman"/>
          <w:sz w:val="24"/>
          <w:szCs w:val="24"/>
        </w:rPr>
        <w:t>. Con riferimento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al primo aspetto, nel 2015 il numero di linee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acquisite e dismesse dagli operatori mobili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stato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pari a 50,3 milioni, con una riduzione dell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8,2%, rispetto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anno precedente. 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indice di movimentazione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dinamica fornisce una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sintesi rappresentativa dell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intensit</w:t>
      </w:r>
      <w:r w:rsidR="00910AD4">
        <w:rPr>
          <w:rFonts w:ascii="Times New Roman" w:eastAsia="Calibri" w:hAnsi="Times New Roman" w:cs="Times New Roman"/>
          <w:sz w:val="24"/>
          <w:szCs w:val="24"/>
        </w:rPr>
        <w:t>à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della competizione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471F2">
        <w:rPr>
          <w:rFonts w:ascii="Times New Roman" w:eastAsia="Calibri" w:hAnsi="Times New Roman" w:cs="Times New Roman"/>
          <w:sz w:val="24"/>
          <w:szCs w:val="24"/>
        </w:rPr>
        <w:t>presente sul mercato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. In media, la movimentazione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in entrata ed in uscita rispetto alla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base clienti si </w:t>
      </w:r>
      <w:r w:rsidR="002471F2">
        <w:rPr>
          <w:rFonts w:ascii="Times New Roman" w:eastAsia="Calibri" w:hAnsi="Times New Roman" w:cs="Times New Roman"/>
          <w:sz w:val="24"/>
          <w:szCs w:val="24"/>
        </w:rPr>
        <w:t>è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ridotta dal 57,4% del 2014 al 53,9%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del 2015, a conferma del raggiungimento di una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relativa omogeneit</w:t>
      </w:r>
      <w:r w:rsidR="00910AD4">
        <w:rPr>
          <w:rFonts w:ascii="Times New Roman" w:eastAsia="Calibri" w:hAnsi="Times New Roman" w:cs="Times New Roman"/>
          <w:sz w:val="24"/>
          <w:szCs w:val="24"/>
        </w:rPr>
        <w:t>à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nella struttura dei servizi offerti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e, soprattutto, delle strategie di </w:t>
      </w:r>
      <w:proofErr w:type="spellStart"/>
      <w:r w:rsidR="00910AD4"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pricing</w:t>
      </w:r>
      <w:proofErr w:type="spellEnd"/>
      <w:r w:rsidR="00910AD4"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con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valori unitari oramai difficilmente comprimibili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ulteriormente </w:t>
      </w:r>
      <w:r w:rsidR="00910AD4" w:rsidRPr="00910AD4">
        <w:rPr>
          <w:rFonts w:ascii="Times New Roman" w:eastAsia="Calibri" w:hAnsi="Times New Roman" w:cs="Times New Roman" w:hint="eastAsia"/>
          <w:sz w:val="24"/>
          <w:szCs w:val="24"/>
        </w:rPr>
        <w:t>–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adottate dalle imprese. Tale andamento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appare peraltro confermato dall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andamento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dell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indice dei prezzi dei servizi relativi alla telefonia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mobile che nel corso del 2015 ha mostrato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una riduzione pi</w:t>
      </w:r>
      <w:r w:rsidR="00910AD4">
        <w:rPr>
          <w:rFonts w:ascii="Times New Roman" w:eastAsia="Calibri" w:hAnsi="Times New Roman" w:cs="Times New Roman"/>
          <w:sz w:val="24"/>
          <w:szCs w:val="24"/>
        </w:rPr>
        <w:t>ù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 xml:space="preserve"> contenuta rispetto all</w:t>
      </w:r>
      <w:r w:rsidR="00910AD4">
        <w:rPr>
          <w:rFonts w:ascii="Times New Roman" w:eastAsia="Calibri" w:hAnsi="Times New Roman" w:cs="Times New Roman"/>
          <w:sz w:val="24"/>
          <w:szCs w:val="24"/>
        </w:rPr>
        <w:t>’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anno precedente</w:t>
      </w:r>
      <w:r w:rsidR="00910A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0AD4" w:rsidRPr="00910AD4">
        <w:rPr>
          <w:rFonts w:ascii="Times New Roman" w:eastAsia="Calibri" w:hAnsi="Times New Roman" w:cs="Times New Roman"/>
          <w:sz w:val="24"/>
          <w:szCs w:val="24"/>
        </w:rPr>
        <w:t>(0,6%).</w:t>
      </w:r>
    </w:p>
    <w:p w:rsidR="00497338" w:rsidRDefault="00910AD4" w:rsidP="00910AD4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AD4">
        <w:rPr>
          <w:rFonts w:ascii="Times New Roman" w:eastAsia="Calibri" w:hAnsi="Times New Roman" w:cs="Times New Roman"/>
          <w:sz w:val="24"/>
          <w:szCs w:val="24"/>
        </w:rPr>
        <w:t xml:space="preserve">Le operazioni complessive del servizio di </w:t>
      </w:r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mobile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number</w:t>
      </w:r>
      <w:proofErr w:type="spellEnd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portability</w:t>
      </w:r>
      <w:proofErr w:type="spellEnd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nel 2015 hanno sfiorato i 90 milioni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di unita, con una crescita di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+12,1 milioni rispetto al 2014, in linea con quanto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rilevato per il periodo 2013-2014 (+11 milioni). I volumi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osservati nel corso degli anni confermano 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910AD4">
        <w:rPr>
          <w:rFonts w:ascii="Times New Roman" w:eastAsia="Calibri" w:hAnsi="Times New Roman" w:cs="Times New Roman"/>
          <w:sz w:val="24"/>
          <w:szCs w:val="24"/>
        </w:rPr>
        <w:t>efficacia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della delibera n. 147/11/CIR e della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successiva delibera n. 651/13/CONS, che hanno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previsto la riduzione dei tempi per 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910AD4">
        <w:rPr>
          <w:rFonts w:ascii="Times New Roman" w:eastAsia="Calibri" w:hAnsi="Times New Roman" w:cs="Times New Roman"/>
          <w:sz w:val="24"/>
          <w:szCs w:val="24"/>
        </w:rPr>
        <w:t>attivazione del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servizio di portabilit</w:t>
      </w:r>
      <w:r>
        <w:rPr>
          <w:rFonts w:ascii="Times New Roman" w:eastAsia="Calibri" w:hAnsi="Times New Roman" w:cs="Times New Roman"/>
          <w:sz w:val="24"/>
          <w:szCs w:val="24"/>
        </w:rPr>
        <w:t>à</w:t>
      </w:r>
      <w:r w:rsidRPr="00910AD4">
        <w:rPr>
          <w:rFonts w:ascii="Times New Roman" w:eastAsia="Calibri" w:hAnsi="Times New Roman" w:cs="Times New Roman"/>
          <w:sz w:val="24"/>
          <w:szCs w:val="24"/>
        </w:rPr>
        <w:t xml:space="preserve"> del numero e la sua gratuita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per il cliente che lo richiede; ne consegue che l</w:t>
      </w:r>
      <w:r>
        <w:rPr>
          <w:rFonts w:ascii="Times New Roman" w:eastAsia="Calibri" w:hAnsi="Times New Roman" w:cs="Times New Roman"/>
          <w:sz w:val="24"/>
          <w:szCs w:val="24"/>
        </w:rPr>
        <w:t>’</w:t>
      </w:r>
      <w:r w:rsidRPr="00910AD4">
        <w:rPr>
          <w:rFonts w:ascii="Times New Roman" w:eastAsia="Calibri" w:hAnsi="Times New Roman" w:cs="Times New Roman"/>
          <w:sz w:val="24"/>
          <w:szCs w:val="24"/>
        </w:rPr>
        <w:t>indice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 xml:space="preserve">di 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  <w:r w:rsidRPr="00910AD4">
        <w:rPr>
          <w:rFonts w:ascii="Times New Roman" w:eastAsia="Calibri" w:hAnsi="Times New Roman" w:cs="Times New Roman"/>
          <w:sz w:val="24"/>
          <w:szCs w:val="24"/>
        </w:rPr>
        <w:t>mobilita</w:t>
      </w:r>
      <w:r>
        <w:rPr>
          <w:rFonts w:ascii="Times New Roman" w:eastAsia="Calibri" w:hAnsi="Times New Roman" w:cs="Times New Roman"/>
          <w:sz w:val="24"/>
          <w:szCs w:val="24"/>
        </w:rPr>
        <w:t>”</w:t>
      </w:r>
      <w:r w:rsidRPr="00910AD4">
        <w:rPr>
          <w:rFonts w:ascii="Times New Roman" w:eastAsia="Calibri" w:hAnsi="Times New Roman" w:cs="Times New Roman"/>
          <w:sz w:val="24"/>
          <w:szCs w:val="24"/>
        </w:rPr>
        <w:t xml:space="preserve"> della </w:t>
      </w:r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mobile </w:t>
      </w:r>
      <w:proofErr w:type="spellStart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number</w:t>
      </w:r>
      <w:proofErr w:type="spellEnd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10AD4">
        <w:rPr>
          <w:rFonts w:ascii="Times New Roman" w:eastAsia="Calibri" w:hAnsi="Times New Roman" w:cs="Times New Roman"/>
          <w:i/>
          <w:iCs/>
          <w:sz w:val="24"/>
          <w:szCs w:val="24"/>
        </w:rPr>
        <w:t>portability</w:t>
      </w:r>
      <w:proofErr w:type="spellEnd"/>
      <w:r w:rsidRPr="00910AD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che misura la propensione al passaggio ad un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nuovo operatore, segna un aumento di tre punti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10AD4">
        <w:rPr>
          <w:rFonts w:ascii="Times New Roman" w:eastAsia="Calibri" w:hAnsi="Times New Roman" w:cs="Times New Roman"/>
          <w:sz w:val="24"/>
          <w:szCs w:val="24"/>
        </w:rPr>
        <w:t>percentuali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2C8A" w:rsidRDefault="00F72C8A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2C8A" w:rsidRPr="00C87210" w:rsidRDefault="00F72C8A" w:rsidP="00F72C8A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72C8A" w:rsidRPr="00C872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9076F"/>
    <w:multiLevelType w:val="hybridMultilevel"/>
    <w:tmpl w:val="73A4C600"/>
    <w:lvl w:ilvl="0" w:tplc="1F9AD63C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71BAC"/>
    <w:multiLevelType w:val="hybridMultilevel"/>
    <w:tmpl w:val="B8620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82F2A"/>
    <w:multiLevelType w:val="hybridMultilevel"/>
    <w:tmpl w:val="32C28E0E"/>
    <w:lvl w:ilvl="0" w:tplc="9E5E0CF0">
      <w:start w:val="1"/>
      <w:numFmt w:val="lowerLetter"/>
      <w:lvlText w:val="%1)"/>
      <w:lvlJc w:val="left"/>
      <w:pPr>
        <w:ind w:left="2118" w:hanging="1410"/>
      </w:pPr>
      <w:rPr>
        <w:rFonts w:ascii="Verdana" w:eastAsia="Verdana" w:hAnsi="Verdana" w:hint="default"/>
        <w:spacing w:val="-1"/>
        <w:w w:val="99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7565C9"/>
    <w:multiLevelType w:val="hybridMultilevel"/>
    <w:tmpl w:val="A2484B40"/>
    <w:lvl w:ilvl="0" w:tplc="00446DE6">
      <w:start w:val="1"/>
      <w:numFmt w:val="lowerLetter"/>
      <w:lvlText w:val="%1)"/>
      <w:lvlJc w:val="left"/>
      <w:pPr>
        <w:ind w:left="2118" w:hanging="14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71D34B9"/>
    <w:multiLevelType w:val="hybridMultilevel"/>
    <w:tmpl w:val="B40CB36A"/>
    <w:lvl w:ilvl="0" w:tplc="04100001">
      <w:start w:val="1"/>
      <w:numFmt w:val="bullet"/>
      <w:lvlText w:val=""/>
      <w:lvlJc w:val="left"/>
      <w:pPr>
        <w:ind w:left="164" w:hanging="226"/>
      </w:pPr>
      <w:rPr>
        <w:rFonts w:ascii="Symbol" w:hAnsi="Symbol" w:hint="default"/>
        <w:w w:val="100"/>
        <w:sz w:val="18"/>
        <w:szCs w:val="18"/>
      </w:rPr>
    </w:lvl>
    <w:lvl w:ilvl="1" w:tplc="4BD0BC62">
      <w:start w:val="1"/>
      <w:numFmt w:val="bullet"/>
      <w:lvlText w:val="•"/>
      <w:lvlJc w:val="left"/>
      <w:pPr>
        <w:ind w:left="969" w:hanging="226"/>
      </w:pPr>
      <w:rPr>
        <w:rFonts w:hint="default"/>
      </w:rPr>
    </w:lvl>
    <w:lvl w:ilvl="2" w:tplc="82F0A6E2">
      <w:start w:val="1"/>
      <w:numFmt w:val="bullet"/>
      <w:lvlText w:val="•"/>
      <w:lvlJc w:val="left"/>
      <w:pPr>
        <w:ind w:left="1778" w:hanging="226"/>
      </w:pPr>
      <w:rPr>
        <w:rFonts w:hint="default"/>
      </w:rPr>
    </w:lvl>
    <w:lvl w:ilvl="3" w:tplc="C49E8498">
      <w:start w:val="1"/>
      <w:numFmt w:val="bullet"/>
      <w:lvlText w:val="•"/>
      <w:lvlJc w:val="left"/>
      <w:pPr>
        <w:ind w:left="2588" w:hanging="226"/>
      </w:pPr>
      <w:rPr>
        <w:rFonts w:hint="default"/>
      </w:rPr>
    </w:lvl>
    <w:lvl w:ilvl="4" w:tplc="1B304984">
      <w:start w:val="1"/>
      <w:numFmt w:val="bullet"/>
      <w:lvlText w:val="•"/>
      <w:lvlJc w:val="left"/>
      <w:pPr>
        <w:ind w:left="3397" w:hanging="226"/>
      </w:pPr>
      <w:rPr>
        <w:rFonts w:hint="default"/>
      </w:rPr>
    </w:lvl>
    <w:lvl w:ilvl="5" w:tplc="D5ACCBCC">
      <w:start w:val="1"/>
      <w:numFmt w:val="bullet"/>
      <w:lvlText w:val="•"/>
      <w:lvlJc w:val="left"/>
      <w:pPr>
        <w:ind w:left="4207" w:hanging="226"/>
      </w:pPr>
      <w:rPr>
        <w:rFonts w:hint="default"/>
      </w:rPr>
    </w:lvl>
    <w:lvl w:ilvl="6" w:tplc="D2A0D464">
      <w:start w:val="1"/>
      <w:numFmt w:val="bullet"/>
      <w:lvlText w:val="•"/>
      <w:lvlJc w:val="left"/>
      <w:pPr>
        <w:ind w:left="5016" w:hanging="226"/>
      </w:pPr>
      <w:rPr>
        <w:rFonts w:hint="default"/>
      </w:rPr>
    </w:lvl>
    <w:lvl w:ilvl="7" w:tplc="AD784BC0">
      <w:start w:val="1"/>
      <w:numFmt w:val="bullet"/>
      <w:lvlText w:val="•"/>
      <w:lvlJc w:val="left"/>
      <w:pPr>
        <w:ind w:left="5826" w:hanging="226"/>
      </w:pPr>
      <w:rPr>
        <w:rFonts w:hint="default"/>
      </w:rPr>
    </w:lvl>
    <w:lvl w:ilvl="8" w:tplc="80909B78">
      <w:start w:val="1"/>
      <w:numFmt w:val="bullet"/>
      <w:lvlText w:val="•"/>
      <w:lvlJc w:val="left"/>
      <w:pPr>
        <w:ind w:left="6635" w:hanging="226"/>
      </w:pPr>
      <w:rPr>
        <w:rFonts w:hint="default"/>
      </w:rPr>
    </w:lvl>
  </w:abstractNum>
  <w:abstractNum w:abstractNumId="5">
    <w:nsid w:val="31571E6B"/>
    <w:multiLevelType w:val="hybridMultilevel"/>
    <w:tmpl w:val="475059CE"/>
    <w:lvl w:ilvl="0" w:tplc="E1340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96D2B"/>
    <w:multiLevelType w:val="hybridMultilevel"/>
    <w:tmpl w:val="AEA8EC9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4D52D4"/>
    <w:multiLevelType w:val="hybridMultilevel"/>
    <w:tmpl w:val="0DE0889E"/>
    <w:lvl w:ilvl="0" w:tplc="AB6A954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5C"/>
    <w:rsid w:val="00020BC4"/>
    <w:rsid w:val="00040714"/>
    <w:rsid w:val="0010196B"/>
    <w:rsid w:val="001776A1"/>
    <w:rsid w:val="001A2DBC"/>
    <w:rsid w:val="00211A82"/>
    <w:rsid w:val="002471F2"/>
    <w:rsid w:val="002D5A4E"/>
    <w:rsid w:val="00300318"/>
    <w:rsid w:val="004426E4"/>
    <w:rsid w:val="00497338"/>
    <w:rsid w:val="004E26AF"/>
    <w:rsid w:val="00560F53"/>
    <w:rsid w:val="005E7628"/>
    <w:rsid w:val="00730C49"/>
    <w:rsid w:val="008379E8"/>
    <w:rsid w:val="00845C5C"/>
    <w:rsid w:val="00910AD4"/>
    <w:rsid w:val="00972108"/>
    <w:rsid w:val="009B605C"/>
    <w:rsid w:val="009E00F2"/>
    <w:rsid w:val="00A874B7"/>
    <w:rsid w:val="00AF6180"/>
    <w:rsid w:val="00C42DBE"/>
    <w:rsid w:val="00C4425D"/>
    <w:rsid w:val="00C74788"/>
    <w:rsid w:val="00C87210"/>
    <w:rsid w:val="00D21C55"/>
    <w:rsid w:val="00DA3BB4"/>
    <w:rsid w:val="00F72C8A"/>
    <w:rsid w:val="00FA7C03"/>
    <w:rsid w:val="00FB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5C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C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5C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C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4249</Words>
  <Characters>24225</Characters>
  <Application>Microsoft Office Word</Application>
  <DocSecurity>0</DocSecurity>
  <Lines>201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28418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Francia Claudio</dc:creator>
  <cp:lastModifiedBy>Simone Isabella</cp:lastModifiedBy>
  <cp:revision>6</cp:revision>
  <dcterms:created xsi:type="dcterms:W3CDTF">2017-03-16T09:38:00Z</dcterms:created>
  <dcterms:modified xsi:type="dcterms:W3CDTF">2017-05-05T08:17:00Z</dcterms:modified>
</cp:coreProperties>
</file>